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附件1</w:t>
      </w:r>
    </w:p>
    <w:p>
      <w:pPr>
        <w:spacing w:line="360" w:lineRule="auto"/>
        <w:jc w:val="center"/>
        <w:outlineLvl w:val="0"/>
        <w:rPr>
          <w:rFonts w:ascii="黑体" w:hAnsi="黑体" w:eastAsia="黑体" w:cs="方正小标宋简体"/>
          <w:b/>
          <w:bCs/>
          <w:sz w:val="32"/>
          <w:szCs w:val="32"/>
        </w:rPr>
      </w:pPr>
    </w:p>
    <w:p>
      <w:pPr>
        <w:spacing w:line="360" w:lineRule="auto"/>
        <w:jc w:val="center"/>
        <w:outlineLvl w:val="0"/>
        <w:rPr>
          <w:rFonts w:ascii="方正小标宋简体" w:hAnsi="黑体" w:eastAsia="方正小标宋简体" w:cs="方正小标宋简体"/>
          <w:b/>
          <w:bCs/>
          <w:sz w:val="44"/>
          <w:szCs w:val="44"/>
        </w:rPr>
      </w:pPr>
      <w:r>
        <w:rPr>
          <w:rFonts w:hint="eastAsia" w:ascii="黑体" w:hAnsi="黑体" w:eastAsia="黑体" w:cs="方正小标宋简体"/>
          <w:b/>
          <w:bCs/>
          <w:sz w:val="32"/>
          <w:szCs w:val="32"/>
        </w:rPr>
        <w:t xml:space="preserve"> </w:t>
      </w:r>
      <w:r>
        <w:rPr>
          <w:rFonts w:ascii="黑体" w:hAnsi="黑体" w:eastAsia="黑体" w:cs="方正小标宋简体"/>
          <w:b/>
          <w:bCs/>
          <w:sz w:val="32"/>
          <w:szCs w:val="32"/>
        </w:rPr>
        <w:t xml:space="preserve">  </w:t>
      </w:r>
      <w:r>
        <w:rPr>
          <w:rFonts w:hint="eastAsia" w:ascii="方正小标宋简体" w:hAnsi="黑体" w:eastAsia="方正小标宋简体" w:cs="方正小标宋简体"/>
          <w:b/>
          <w:bCs/>
          <w:sz w:val="44"/>
          <w:szCs w:val="44"/>
        </w:rPr>
        <w:t xml:space="preserve"> 深圳市民办中小学校财务管理办法</w:t>
      </w:r>
    </w:p>
    <w:p>
      <w:pPr>
        <w:spacing w:line="360" w:lineRule="auto"/>
        <w:rPr>
          <w:rFonts w:ascii="仿宋" w:hAnsi="仿宋" w:eastAsia="仿宋"/>
          <w:sz w:val="32"/>
          <w:szCs w:val="32"/>
        </w:rPr>
      </w:pPr>
      <w:r>
        <w:rPr>
          <w:rFonts w:hint="eastAsia" w:ascii="仿宋" w:hAnsi="仿宋" w:eastAsia="仿宋"/>
          <w:sz w:val="32"/>
          <w:szCs w:val="32"/>
        </w:rPr>
        <w:t xml:space="preserve">                       （征求意见稿）</w:t>
      </w:r>
    </w:p>
    <w:p>
      <w:pPr>
        <w:spacing w:line="360" w:lineRule="auto"/>
        <w:jc w:val="center"/>
        <w:outlineLvl w:val="0"/>
        <w:rPr>
          <w:rFonts w:ascii="黑体" w:hAnsi="黑体" w:eastAsia="黑体"/>
          <w:b/>
          <w:bCs/>
          <w:sz w:val="32"/>
          <w:szCs w:val="32"/>
        </w:rPr>
      </w:pP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第一章  总 则</w:t>
      </w:r>
    </w:p>
    <w:p>
      <w:pPr>
        <w:spacing w:line="360" w:lineRule="auto"/>
        <w:rPr>
          <w:rFonts w:ascii="仿宋" w:hAnsi="仿宋" w:eastAsia="仿宋"/>
          <w:sz w:val="32"/>
          <w:szCs w:val="32"/>
        </w:rPr>
      </w:pPr>
      <w:r>
        <w:rPr>
          <w:rFonts w:hint="eastAsia" w:ascii="仿宋" w:hAnsi="仿宋" w:eastAsia="仿宋"/>
          <w:sz w:val="32"/>
          <w:szCs w:val="32"/>
        </w:rPr>
        <w:t xml:space="preserve">    第一条 为了规范我市民办中小学校财务行为，加强财务管理，促进民办教育事业健康、持续发展，根据《中华人民共和国民办教育促进法》《中华人民共和国民办教育促进法实施条例》《国务院关于鼓励社会力量兴办教育促进民办教育健康发展的若干意见》《中华人民共和国会计法》《中华人民共和国公司法》《民间非营利组织会计制度》《企业会计准则》《政府会计准则》等政策法规和有关规定，结合我市民办中小学校实际情况，制定本办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第二条 本办法适用于国家机构以外的社会组织或者个人（以下简称“举办者”）利用非国家财政性经费，在我市面向社会举办的普通中小学校和中等职业技术学校（以下统称“民办学校”或“学校”）的财务管理活动。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第三条 民办学校财务管理的基本原则是：坚持党的全面领导，严格执行国家有关法律、法规和财务管理规章制度，坚持公益办学属性，切实保障举办者、教职工、学生、捐赠者及相关方的合法权益。</w:t>
      </w:r>
    </w:p>
    <w:p>
      <w:pPr>
        <w:spacing w:line="360" w:lineRule="auto"/>
        <w:ind w:firstLine="645"/>
        <w:rPr>
          <w:rFonts w:ascii="仿宋" w:hAnsi="仿宋" w:eastAsia="仿宋"/>
          <w:sz w:val="32"/>
          <w:szCs w:val="32"/>
        </w:rPr>
      </w:pPr>
      <w:r>
        <w:rPr>
          <w:rFonts w:hint="eastAsia" w:ascii="仿宋" w:hAnsi="仿宋" w:eastAsia="仿宋"/>
          <w:sz w:val="32"/>
          <w:szCs w:val="32"/>
        </w:rPr>
        <w:t>第四条 民办学校财务管理的主要任务是：建立健全财务管理制度，规范学校经济行为；科学编制预算，真实反映财务状况；依法筹集办学资金，落实法人财产权；加强经济活动内部控制，合理配置资产，提高资产使用效益；防范财务风险。</w:t>
      </w:r>
    </w:p>
    <w:p>
      <w:pPr>
        <w:spacing w:line="360" w:lineRule="auto"/>
        <w:ind w:firstLine="640" w:firstLineChars="200"/>
        <w:jc w:val="left"/>
        <w:rPr>
          <w:rFonts w:ascii="仿宋" w:hAnsi="仿宋" w:eastAsia="仿宋"/>
          <w:sz w:val="32"/>
          <w:szCs w:val="32"/>
        </w:rPr>
      </w:pPr>
      <w:bookmarkStart w:id="0" w:name="_Hlk67230486"/>
      <w:bookmarkStart w:id="1" w:name="_Hlk56860741"/>
      <w:r>
        <w:rPr>
          <w:rFonts w:hint="eastAsia" w:ascii="仿宋" w:hAnsi="仿宋" w:eastAsia="仿宋"/>
          <w:kern w:val="0"/>
          <w:sz w:val="32"/>
          <w:szCs w:val="32"/>
        </w:rPr>
        <w:t xml:space="preserve">第五条 </w:t>
      </w:r>
      <w:r>
        <w:rPr>
          <w:rFonts w:hint="eastAsia" w:ascii="仿宋" w:hAnsi="仿宋" w:eastAsia="仿宋"/>
          <w:sz w:val="32"/>
          <w:szCs w:val="32"/>
        </w:rPr>
        <w:t>民办学校应当按照登记的法人属性执行相应的会计制度。其中，非营利性民办学校应执行《民间非营利组织会计制度》等国家规定的相关会计制度；营利性民办学校应执行《小企业会计准则》或者《企业会计准则》。</w:t>
      </w:r>
      <w:bookmarkEnd w:id="0"/>
    </w:p>
    <w:bookmarkEnd w:id="1"/>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第二章</w:t>
      </w:r>
      <w:r>
        <w:rPr>
          <w:rFonts w:ascii="黑体" w:hAnsi="黑体" w:eastAsia="黑体"/>
          <w:b/>
          <w:bCs/>
          <w:sz w:val="32"/>
          <w:szCs w:val="32"/>
        </w:rPr>
        <w:t xml:space="preserve"> </w:t>
      </w:r>
      <w:r>
        <w:rPr>
          <w:rFonts w:hint="eastAsia" w:ascii="黑体" w:hAnsi="黑体" w:eastAsia="黑体"/>
          <w:b/>
          <w:bCs/>
          <w:sz w:val="32"/>
          <w:szCs w:val="32"/>
        </w:rPr>
        <w:t xml:space="preserve"> 财务管理体制</w:t>
      </w:r>
    </w:p>
    <w:p>
      <w:pPr>
        <w:spacing w:line="360" w:lineRule="auto"/>
        <w:ind w:firstLine="576"/>
        <w:rPr>
          <w:rFonts w:ascii="仿宋" w:hAnsi="仿宋" w:eastAsia="仿宋"/>
          <w:sz w:val="32"/>
          <w:szCs w:val="32"/>
        </w:rPr>
      </w:pPr>
      <w:r>
        <w:rPr>
          <w:rFonts w:hint="eastAsia" w:ascii="仿宋" w:hAnsi="仿宋" w:eastAsia="仿宋"/>
          <w:sz w:val="32"/>
          <w:szCs w:val="32"/>
        </w:rPr>
        <w:t>第六条 民办学校应当设置独立的会计机构，统一负责民办学校财务管理工作。不具备单独设置会计机构条件的，必须在民办学校有关机构中设置专职会计人员并指定会计主管人员。</w:t>
      </w:r>
    </w:p>
    <w:p>
      <w:pPr>
        <w:topLinePunct/>
        <w:spacing w:line="360" w:lineRule="auto"/>
        <w:ind w:firstLine="640" w:firstLineChars="200"/>
        <w:rPr>
          <w:rFonts w:ascii="仿宋" w:hAnsi="仿宋" w:eastAsia="仿宋"/>
          <w:sz w:val="32"/>
          <w:szCs w:val="32"/>
        </w:rPr>
      </w:pPr>
      <w:r>
        <w:rPr>
          <w:rFonts w:hint="eastAsia" w:ascii="仿宋" w:hAnsi="仿宋" w:eastAsia="仿宋"/>
          <w:sz w:val="32"/>
          <w:szCs w:val="32"/>
        </w:rPr>
        <w:t>第七条 民办学校任用会计人员应当实行回避制度，民办学校决策机构成员、学校领导人的直系亲属不得担任本学校会计机构负责人、会计主管人员。民办学校会计机构负责人、会计主管人员的直系亲属不得在本学校担任出纳工作。</w:t>
      </w:r>
    </w:p>
    <w:p>
      <w:pPr>
        <w:spacing w:line="360" w:lineRule="auto"/>
        <w:ind w:firstLine="576"/>
        <w:rPr>
          <w:rFonts w:ascii="仿宋" w:hAnsi="仿宋" w:eastAsia="仿宋"/>
          <w:sz w:val="32"/>
          <w:szCs w:val="32"/>
        </w:rPr>
      </w:pPr>
      <w:r>
        <w:rPr>
          <w:rFonts w:hint="eastAsia" w:ascii="仿宋" w:hAnsi="仿宋" w:eastAsia="仿宋"/>
          <w:sz w:val="32"/>
          <w:szCs w:val="32"/>
        </w:rPr>
        <w:t>第八条 民办学校会计机构负责人和会计人员的配备、任职条件、职业道德、工作交接以及会计核算、会计监督等，应当</w:t>
      </w:r>
      <w:r>
        <w:rPr>
          <w:rFonts w:hint="eastAsia" w:ascii="仿宋" w:hAnsi="仿宋" w:eastAsia="仿宋" w:cs="Times New Roman"/>
          <w:kern w:val="0"/>
          <w:sz w:val="32"/>
          <w:szCs w:val="32"/>
        </w:rPr>
        <w:t>遵循不相容岗位相互分离的原则，</w:t>
      </w:r>
      <w:r>
        <w:rPr>
          <w:rFonts w:hint="eastAsia" w:ascii="仿宋" w:hAnsi="仿宋" w:eastAsia="仿宋"/>
          <w:sz w:val="32"/>
          <w:szCs w:val="32"/>
        </w:rPr>
        <w:t>按照《中华人民共和国会计法》《会计人员管理办法》《会计基础工作规范》等相关规定执行。</w:t>
      </w:r>
    </w:p>
    <w:p>
      <w:pPr>
        <w:pStyle w:val="3"/>
        <w:spacing w:beforeAutospacing="0" w:afterAutospacing="0" w:line="360" w:lineRule="auto"/>
        <w:ind w:firstLine="640" w:firstLineChars="200"/>
        <w:rPr>
          <w:rFonts w:ascii="仿宋" w:hAnsi="仿宋" w:eastAsia="仿宋"/>
          <w:sz w:val="32"/>
          <w:szCs w:val="32"/>
        </w:rPr>
      </w:pPr>
      <w:r>
        <w:rPr>
          <w:rFonts w:hint="eastAsia" w:ascii="仿宋" w:hAnsi="仿宋" w:eastAsia="仿宋"/>
          <w:sz w:val="32"/>
          <w:szCs w:val="32"/>
        </w:rPr>
        <w:t>第九条 会计人员工作调动或者因故提出离职，民办学校应及时招聘接替其工作的会计人员，并在1个月内完成交接。没有办清交接手续的，不得调动或者离职。</w:t>
      </w:r>
    </w:p>
    <w:p>
      <w:pPr>
        <w:pStyle w:val="3"/>
        <w:spacing w:beforeAutospacing="0" w:afterAutospacing="0" w:line="360" w:lineRule="auto"/>
        <w:ind w:firstLine="640" w:firstLineChars="200"/>
        <w:rPr>
          <w:rFonts w:ascii="仿宋" w:hAnsi="仿宋" w:eastAsia="仿宋"/>
          <w:sz w:val="32"/>
          <w:szCs w:val="32"/>
        </w:rPr>
      </w:pPr>
      <w:r>
        <w:rPr>
          <w:rFonts w:hint="eastAsia" w:ascii="仿宋" w:hAnsi="仿宋" w:eastAsia="仿宋"/>
          <w:sz w:val="32"/>
          <w:szCs w:val="32"/>
        </w:rPr>
        <w:t>会计机构负责人移交时，必须将全部财务会计工作、重大财务收支和会计人员的情况等，向接替人员详细介绍。对需要移交的问题，应当写出书面材料。</w:t>
      </w:r>
    </w:p>
    <w:p>
      <w:pPr>
        <w:pStyle w:val="3"/>
        <w:spacing w:beforeAutospacing="0" w:afterAutospacing="0" w:line="360" w:lineRule="auto"/>
        <w:ind w:firstLine="640" w:firstLineChars="200"/>
        <w:rPr>
          <w:rFonts w:ascii="仿宋" w:hAnsi="仿宋" w:eastAsia="仿宋"/>
          <w:sz w:val="32"/>
          <w:szCs w:val="32"/>
        </w:rPr>
      </w:pPr>
      <w:r>
        <w:rPr>
          <w:rFonts w:hint="eastAsia" w:ascii="仿宋" w:hAnsi="仿宋" w:eastAsia="仿宋"/>
          <w:sz w:val="32"/>
          <w:szCs w:val="32"/>
        </w:rPr>
        <w:t>民办学校法定代表人变更、分管财务工作负责人变更，要对其负责的财务管理工作和相关会计资料进行移交。</w:t>
      </w:r>
    </w:p>
    <w:p>
      <w:pPr>
        <w:pStyle w:val="3"/>
        <w:spacing w:beforeAutospacing="0" w:afterAutospacing="0" w:line="360" w:lineRule="auto"/>
        <w:ind w:firstLine="640" w:firstLineChars="200"/>
        <w:rPr>
          <w:rFonts w:ascii="仿宋" w:hAnsi="仿宋" w:eastAsia="仿宋"/>
          <w:sz w:val="32"/>
          <w:szCs w:val="32"/>
        </w:rPr>
      </w:pPr>
      <w:r>
        <w:rPr>
          <w:rFonts w:hint="eastAsia" w:ascii="仿宋" w:hAnsi="仿宋" w:eastAsia="仿宋"/>
          <w:sz w:val="32"/>
          <w:szCs w:val="32"/>
        </w:rPr>
        <w:t>第十条 民办学校法定代表人对民办学校会计工作和会计资料的真实性、完整性负责。</w:t>
      </w:r>
      <w:bookmarkStart w:id="2" w:name="_Hlk56867224"/>
      <w:r>
        <w:rPr>
          <w:rFonts w:hint="eastAsia" w:ascii="仿宋" w:hAnsi="仿宋" w:eastAsia="仿宋"/>
          <w:sz w:val="32"/>
          <w:szCs w:val="32"/>
        </w:rPr>
        <w:t>民办学校</w:t>
      </w:r>
      <w:bookmarkStart w:id="3" w:name="_Hlk55206423"/>
      <w:r>
        <w:rPr>
          <w:rFonts w:hint="eastAsia" w:ascii="仿宋" w:hAnsi="仿宋" w:eastAsia="仿宋"/>
          <w:sz w:val="32"/>
          <w:szCs w:val="32"/>
        </w:rPr>
        <w:t>分管财务工作</w:t>
      </w:r>
      <w:bookmarkEnd w:id="3"/>
      <w:r>
        <w:rPr>
          <w:rFonts w:hint="eastAsia" w:ascii="仿宋" w:hAnsi="仿宋" w:eastAsia="仿宋"/>
          <w:sz w:val="32"/>
          <w:szCs w:val="32"/>
        </w:rPr>
        <w:t>负责人、会计机构负责人在各自职责范围内对本单位会计工作和会计资料的真实性、完整性承担相应的法律责任</w:t>
      </w:r>
      <w:bookmarkEnd w:id="2"/>
      <w:r>
        <w:rPr>
          <w:rFonts w:hint="eastAsia" w:ascii="仿宋" w:hAnsi="仿宋" w:eastAsia="仿宋"/>
          <w:sz w:val="32"/>
          <w:szCs w:val="32"/>
        </w:rPr>
        <w:t>。</w:t>
      </w:r>
    </w:p>
    <w:p>
      <w:pPr>
        <w:pStyle w:val="3"/>
        <w:spacing w:beforeAutospacing="0" w:afterAutospacing="0" w:line="360" w:lineRule="auto"/>
        <w:ind w:firstLine="640" w:firstLineChars="200"/>
        <w:rPr>
          <w:rFonts w:ascii="仿宋" w:hAnsi="仿宋" w:eastAsia="仿宋"/>
          <w:sz w:val="32"/>
          <w:szCs w:val="32"/>
        </w:rPr>
      </w:pPr>
      <w:r>
        <w:rPr>
          <w:rFonts w:hint="eastAsia" w:ascii="仿宋" w:hAnsi="仿宋" w:eastAsia="仿宋"/>
          <w:sz w:val="32"/>
          <w:szCs w:val="32"/>
        </w:rPr>
        <w:t>民办学校法定代表人、分管财务工作负责人应当保证会计机构、会计人员依法履行职责，不得授意会计机构和会计人员违规办理会计事项、伪造或变造会计凭证、会计账簿和其他会计资料、提供虚假财务会计报告。</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会计机构、会计人员对违法违规会计事项，有权拒绝办理或者按照职权予以纠正。</w:t>
      </w:r>
    </w:p>
    <w:p>
      <w:pPr>
        <w:spacing w:line="360" w:lineRule="auto"/>
        <w:ind w:firstLine="576"/>
        <w:rPr>
          <w:rFonts w:ascii="仿宋" w:hAnsi="仿宋" w:eastAsia="仿宋"/>
          <w:sz w:val="32"/>
          <w:szCs w:val="32"/>
        </w:rPr>
      </w:pPr>
      <w:r>
        <w:rPr>
          <w:rFonts w:hint="eastAsia" w:ascii="仿宋" w:hAnsi="仿宋" w:eastAsia="仿宋"/>
          <w:sz w:val="32"/>
          <w:szCs w:val="32"/>
        </w:rPr>
        <w:t>第十一条 民办学校应当建立健全管理制度，包括财务管理制度、预算管理制度、资产管理制度、办学成本核算制度、采购招标制度、内部控制制度、会计档案管理制度、大额资金支付集体决策制度等，并将制定或修改的制度报教育主管部门备案。</w:t>
      </w:r>
    </w:p>
    <w:p>
      <w:pPr>
        <w:spacing w:line="360" w:lineRule="auto"/>
        <w:ind w:firstLine="576"/>
        <w:rPr>
          <w:rFonts w:ascii="仿宋" w:hAnsi="仿宋" w:eastAsia="仿宋"/>
          <w:sz w:val="32"/>
          <w:szCs w:val="32"/>
        </w:rPr>
      </w:pPr>
      <w:r>
        <w:rPr>
          <w:rFonts w:hint="eastAsia" w:ascii="仿宋" w:hAnsi="仿宋" w:eastAsia="仿宋"/>
          <w:sz w:val="32"/>
          <w:szCs w:val="32"/>
        </w:rPr>
        <w:t>民办学校</w:t>
      </w:r>
      <w:bookmarkStart w:id="4" w:name="_Hlk87908870"/>
      <w:r>
        <w:rPr>
          <w:rFonts w:hint="eastAsia" w:ascii="仿宋" w:hAnsi="仿宋" w:eastAsia="仿宋"/>
          <w:sz w:val="32"/>
          <w:szCs w:val="32"/>
        </w:rPr>
        <w:t>招标采购和大额资金支付</w:t>
      </w:r>
      <w:bookmarkEnd w:id="4"/>
      <w:r>
        <w:rPr>
          <w:rFonts w:hint="eastAsia" w:ascii="仿宋" w:hAnsi="仿宋" w:eastAsia="仿宋"/>
          <w:sz w:val="32"/>
          <w:szCs w:val="32"/>
        </w:rPr>
        <w:t>集体决策制度应明确招标采购和大额资金支付集体决策的程序、方式、规则。招标采购应订立合同，确定当事人的名称或姓名、住所、标的、数量、质量、价款或报酬、履约期限、履约地点和方式、违约责任、解决争议的方法等。</w:t>
      </w: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第三章  举办者出资</w:t>
      </w:r>
    </w:p>
    <w:p>
      <w:pPr>
        <w:spacing w:line="360" w:lineRule="auto"/>
        <w:ind w:firstLine="648"/>
        <w:rPr>
          <w:rFonts w:ascii="仿宋" w:hAnsi="仿宋" w:eastAsia="仿宋"/>
          <w:sz w:val="30"/>
          <w:szCs w:val="30"/>
        </w:rPr>
      </w:pPr>
      <w:r>
        <w:rPr>
          <w:rFonts w:hint="eastAsia" w:ascii="仿宋" w:hAnsi="仿宋" w:eastAsia="仿宋"/>
          <w:sz w:val="32"/>
          <w:szCs w:val="32"/>
        </w:rPr>
        <w:t>第十二条</w:t>
      </w:r>
      <w:bookmarkStart w:id="5" w:name="_Hlk57209799"/>
      <w:r>
        <w:rPr>
          <w:rFonts w:hint="eastAsia" w:ascii="仿宋" w:hAnsi="仿宋" w:eastAsia="仿宋"/>
          <w:sz w:val="32"/>
          <w:szCs w:val="32"/>
        </w:rPr>
        <w:t xml:space="preserve"> </w:t>
      </w:r>
      <w:r>
        <w:rPr>
          <w:rFonts w:hint="eastAsia" w:ascii="仿宋" w:hAnsi="仿宋" w:eastAsia="仿宋"/>
          <w:sz w:val="30"/>
          <w:szCs w:val="30"/>
        </w:rPr>
        <w:t>举办者可以用货币出资，也可以用实物、建设用地使用权、知识产权等可以用货币估价并可以依法转让的非货币财产作价作为办学出资。但是法律、行政法规规定不得作为出资的财产除外。</w:t>
      </w:r>
    </w:p>
    <w:p>
      <w:pPr>
        <w:spacing w:line="360" w:lineRule="auto"/>
        <w:ind w:firstLine="640" w:firstLineChars="200"/>
        <w:rPr>
          <w:rFonts w:ascii="仿宋" w:hAnsi="仿宋" w:eastAsia="仿宋"/>
          <w:sz w:val="32"/>
          <w:szCs w:val="32"/>
        </w:rPr>
      </w:pPr>
      <w:bookmarkStart w:id="6" w:name="_Hlk87885716"/>
      <w:r>
        <w:rPr>
          <w:rFonts w:hint="eastAsia" w:ascii="仿宋" w:hAnsi="仿宋" w:eastAsia="仿宋"/>
          <w:sz w:val="32"/>
          <w:szCs w:val="32"/>
        </w:rPr>
        <w:t>政府补助、向学生收取的费用和民办学校的借款、接受捐赠的财产，不属于举办者的出资。</w:t>
      </w:r>
    </w:p>
    <w:bookmarkEnd w:id="6"/>
    <w:p>
      <w:pPr>
        <w:pStyle w:val="3"/>
        <w:spacing w:beforeAutospacing="0" w:afterAutospacing="0" w:line="360" w:lineRule="auto"/>
        <w:ind w:firstLine="640" w:firstLineChars="200"/>
        <w:rPr>
          <w:rFonts w:ascii="仿宋" w:hAnsi="仿宋" w:eastAsia="仿宋"/>
          <w:sz w:val="32"/>
          <w:szCs w:val="32"/>
        </w:rPr>
      </w:pPr>
      <w:r>
        <w:rPr>
          <w:rFonts w:hint="eastAsia" w:ascii="仿宋" w:hAnsi="仿宋" w:eastAsia="仿宋"/>
          <w:sz w:val="32"/>
          <w:szCs w:val="32"/>
        </w:rPr>
        <w:t>第十三条 民办学校举办者应依法履行出资义务，缴足办学资金、注册资本，将出资用于办学的土地、校舍和其他资产及时、足额过户到学校名下。</w:t>
      </w:r>
    </w:p>
    <w:p>
      <w:pPr>
        <w:spacing w:line="360" w:lineRule="auto"/>
        <w:ind w:firstLine="576"/>
        <w:rPr>
          <w:rFonts w:ascii="仿宋" w:hAnsi="仿宋" w:eastAsia="仿宋"/>
          <w:sz w:val="32"/>
          <w:szCs w:val="32"/>
        </w:rPr>
      </w:pPr>
      <w:r>
        <w:rPr>
          <w:rFonts w:hint="eastAsia" w:ascii="仿宋" w:hAnsi="仿宋" w:eastAsia="仿宋"/>
          <w:sz w:val="32"/>
          <w:szCs w:val="32"/>
        </w:rPr>
        <w:t>举办者投入的产权资产过户到民办学校名下之前，举办者对民办学校债务依法承担相应的法律责任。</w:t>
      </w:r>
    </w:p>
    <w:bookmarkEnd w:id="5"/>
    <w:p>
      <w:pPr>
        <w:spacing w:line="360" w:lineRule="auto"/>
        <w:ind w:firstLine="645"/>
        <w:rPr>
          <w:rFonts w:ascii="仿宋" w:hAnsi="仿宋" w:eastAsia="仿宋"/>
          <w:sz w:val="32"/>
          <w:szCs w:val="32"/>
        </w:rPr>
      </w:pPr>
      <w:r>
        <w:rPr>
          <w:rFonts w:hint="eastAsia" w:ascii="仿宋" w:hAnsi="仿宋" w:eastAsia="仿宋"/>
          <w:sz w:val="32"/>
          <w:szCs w:val="32"/>
        </w:rPr>
        <w:t>第十四条 举办者出资应当履行法定验资程序。其中，举办者以货币资产出资的，应当提供有执业资格的会计师事务所出具的验资报告；举办者以自有土地使用权、实物、知识产权等非货币资产出资的，应当由</w:t>
      </w:r>
      <w:r>
        <w:rPr>
          <w:rFonts w:hint="eastAsia" w:ascii="仿宋" w:hAnsi="仿宋" w:eastAsia="仿宋" w:cs="Times New Roman"/>
          <w:kern w:val="0"/>
          <w:sz w:val="32"/>
          <w:szCs w:val="32"/>
        </w:rPr>
        <w:t>具有资产评估资质的</w:t>
      </w:r>
      <w:r>
        <w:rPr>
          <w:rFonts w:hint="eastAsia" w:ascii="仿宋" w:hAnsi="仿宋" w:eastAsia="仿宋"/>
          <w:sz w:val="32"/>
          <w:szCs w:val="32"/>
        </w:rPr>
        <w:t>资产评估机构评估，出具评估报告。</w:t>
      </w:r>
    </w:p>
    <w:p>
      <w:pPr>
        <w:spacing w:line="360" w:lineRule="auto"/>
        <w:ind w:firstLine="645"/>
        <w:rPr>
          <w:rFonts w:ascii="仿宋" w:hAnsi="仿宋" w:eastAsia="仿宋"/>
          <w:sz w:val="32"/>
          <w:szCs w:val="32"/>
        </w:rPr>
      </w:pPr>
      <w:r>
        <w:rPr>
          <w:rFonts w:hint="eastAsia" w:ascii="仿宋" w:hAnsi="仿宋" w:eastAsia="仿宋"/>
          <w:sz w:val="32"/>
          <w:szCs w:val="32"/>
        </w:rPr>
        <w:t>非营利性民办学校在民政部门登记时的开办资金应符合民政部门相关要求。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第十五条 举办者出资后，不得通过虚构债权债务、利用关联交易等方式抽逃出资，不得挪用办学经费，不得通过拆借资金、无偿使用等方式占有民办学校的资金、资产。不得违规将政府补助资金、社会捐赠资金、学费收入等从事理财获取收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非营利性民办学校的举办者不得直接或间接取得办学收益。</w:t>
      </w: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第四章  预算管理</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第十六条 民办学校应当编制年度收支预算，在预算管理制度中明确预算编制办法、预算调整办法和审批程序，加强预算执行与分析，切实保障教职工和学生权益。</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第十七条 预算编制应当坚持“量入为出、收支平衡”的总原则。收入预算坚持积极稳妥原则；支出预算坚持保运转、保稳定、避风险、持续发展原则。</w:t>
      </w:r>
      <w:bookmarkStart w:id="7" w:name="_Hlk56789160"/>
    </w:p>
    <w:bookmarkEnd w:id="7"/>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第十八条 校长负责组织编制民办学校年度预算，经学校决策机构决议通过后实施。</w:t>
      </w:r>
    </w:p>
    <w:p>
      <w:pPr>
        <w:spacing w:line="360" w:lineRule="auto"/>
        <w:ind w:firstLine="576"/>
        <w:rPr>
          <w:rFonts w:ascii="仿宋" w:hAnsi="仿宋" w:eastAsia="仿宋"/>
          <w:sz w:val="32"/>
          <w:szCs w:val="32"/>
        </w:rPr>
      </w:pPr>
      <w:r>
        <w:rPr>
          <w:rFonts w:hint="eastAsia" w:ascii="仿宋" w:hAnsi="仿宋" w:eastAsia="仿宋"/>
          <w:sz w:val="32"/>
          <w:szCs w:val="32"/>
        </w:rPr>
        <w:t xml:space="preserve">第十九条 </w:t>
      </w:r>
      <w:bookmarkStart w:id="8" w:name="_Hlk56783776"/>
      <w:r>
        <w:rPr>
          <w:rFonts w:hint="eastAsia" w:ascii="仿宋" w:hAnsi="仿宋" w:eastAsia="仿宋"/>
          <w:sz w:val="32"/>
          <w:szCs w:val="32"/>
        </w:rPr>
        <w:t>民办学校应当将党建工作、思想政治工作和群团组织工作经费纳入预算。</w:t>
      </w:r>
    </w:p>
    <w:bookmarkEnd w:id="8"/>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第五章</w:t>
      </w:r>
      <w:r>
        <w:rPr>
          <w:rFonts w:ascii="黑体" w:hAnsi="黑体" w:eastAsia="黑体"/>
          <w:b/>
          <w:bCs/>
          <w:sz w:val="32"/>
          <w:szCs w:val="32"/>
        </w:rPr>
        <w:t xml:space="preserve"> </w:t>
      </w:r>
      <w:r>
        <w:rPr>
          <w:rFonts w:hint="eastAsia" w:ascii="黑体" w:hAnsi="黑体" w:eastAsia="黑体"/>
          <w:b/>
          <w:bCs/>
          <w:sz w:val="32"/>
          <w:szCs w:val="32"/>
        </w:rPr>
        <w:t xml:space="preserve"> 资产管理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第二十条 资产是指过去的交易或者事项形成并由民办学校拥有或者控制的，预计能够为民办学校带来服务潜力或经济利益的资源。资产按其流动性分为流动资产、长期投资、固定资产、无形资产等。</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第二十一条 民办学校对举办者投入的资产、国有资产、受赠资产和办学积累，享有法人财产权。存续期间，所有资产由民办学校依法管理和使用，任何组织和个人不得侵占。</w:t>
      </w:r>
    </w:p>
    <w:p>
      <w:pPr>
        <w:spacing w:line="360" w:lineRule="auto"/>
        <w:ind w:firstLine="645"/>
        <w:rPr>
          <w:rFonts w:ascii="仿宋" w:hAnsi="仿宋" w:eastAsia="仿宋" w:cs="宋体"/>
          <w:kern w:val="0"/>
          <w:sz w:val="32"/>
          <w:szCs w:val="32"/>
        </w:rPr>
      </w:pPr>
      <w:r>
        <w:rPr>
          <w:rFonts w:hint="eastAsia" w:ascii="仿宋" w:hAnsi="仿宋" w:eastAsia="仿宋"/>
          <w:sz w:val="32"/>
          <w:szCs w:val="32"/>
        </w:rPr>
        <w:t>第二十二条 民办学校应加强资金监督管理，对举办者投入、收取学费等费用、开展活动的资金往来，应当使用在教育主管部门备案的账户；捐赠收入和财政补助收入应当存入教育主管部门规定的银行账户，</w:t>
      </w:r>
      <w:r>
        <w:rPr>
          <w:rFonts w:hint="eastAsia" w:ascii="仿宋" w:hAnsi="仿宋" w:eastAsia="仿宋" w:cs="宋体"/>
          <w:kern w:val="0"/>
          <w:sz w:val="32"/>
          <w:szCs w:val="32"/>
        </w:rPr>
        <w:t>不得存放在个人和学校的其他账户。</w:t>
      </w:r>
    </w:p>
    <w:p>
      <w:pPr>
        <w:spacing w:line="360" w:lineRule="auto"/>
        <w:ind w:firstLine="645"/>
        <w:rPr>
          <w:rFonts w:ascii="仿宋" w:hAnsi="仿宋" w:eastAsia="仿宋"/>
          <w:sz w:val="32"/>
          <w:szCs w:val="32"/>
        </w:rPr>
      </w:pPr>
      <w:r>
        <w:rPr>
          <w:rFonts w:hint="eastAsia" w:ascii="仿宋" w:hAnsi="仿宋" w:eastAsia="仿宋"/>
          <w:sz w:val="32"/>
          <w:szCs w:val="32"/>
        </w:rPr>
        <w:t>民办学校不得出租出借资金账户，不得将民办学校资金归集到举办者公司（个人）、举办者关联公司（个人）或者其财务公司账户进行集中管理。</w:t>
      </w:r>
      <w:bookmarkStart w:id="9" w:name="_Hlk57221885"/>
    </w:p>
    <w:bookmarkEnd w:id="9"/>
    <w:p>
      <w:pPr>
        <w:spacing w:line="360" w:lineRule="auto"/>
        <w:ind w:firstLine="645"/>
        <w:rPr>
          <w:rFonts w:ascii="仿宋" w:hAnsi="仿宋" w:eastAsia="仿宋" w:cs="宋体"/>
          <w:kern w:val="0"/>
          <w:sz w:val="32"/>
          <w:szCs w:val="32"/>
        </w:rPr>
      </w:pPr>
      <w:r>
        <w:rPr>
          <w:rFonts w:hint="eastAsia" w:ascii="仿宋" w:hAnsi="仿宋" w:eastAsia="仿宋" w:cs="宋体"/>
          <w:kern w:val="0"/>
          <w:sz w:val="32"/>
          <w:szCs w:val="32"/>
        </w:rPr>
        <w:t>民办学校现金管理执行《现金管理暂行条例》的规定。</w:t>
      </w:r>
    </w:p>
    <w:p>
      <w:pPr>
        <w:spacing w:line="360" w:lineRule="auto"/>
        <w:ind w:firstLine="640"/>
        <w:rPr>
          <w:rFonts w:ascii="仿宋" w:hAnsi="仿宋" w:eastAsia="仿宋"/>
          <w:sz w:val="32"/>
          <w:szCs w:val="32"/>
        </w:rPr>
      </w:pPr>
      <w:r>
        <w:rPr>
          <w:rFonts w:hint="eastAsia" w:ascii="仿宋" w:hAnsi="仿宋" w:eastAsia="仿宋"/>
          <w:sz w:val="32"/>
          <w:szCs w:val="32"/>
        </w:rPr>
        <w:t>第二十三条 民办学校应定期与债务人对账，核实各种应收款项，及时清算、催收，不得长期挂账。</w:t>
      </w:r>
    </w:p>
    <w:p>
      <w:pPr>
        <w:spacing w:line="360" w:lineRule="auto"/>
        <w:ind w:firstLine="640" w:firstLineChars="200"/>
        <w:jc w:val="left"/>
        <w:rPr>
          <w:rFonts w:ascii="仿宋" w:hAnsi="仿宋" w:eastAsia="仿宋"/>
          <w:color w:val="FF0000"/>
          <w:sz w:val="32"/>
          <w:szCs w:val="32"/>
        </w:rPr>
      </w:pPr>
      <w:r>
        <w:rPr>
          <w:rFonts w:hint="eastAsia" w:ascii="仿宋" w:hAnsi="仿宋" w:eastAsia="仿宋"/>
          <w:sz w:val="32"/>
          <w:szCs w:val="32"/>
        </w:rPr>
        <w:t>第二十四条 民办学校应</w:t>
      </w:r>
      <w:r>
        <w:rPr>
          <w:rFonts w:hint="eastAsia" w:ascii="仿宋" w:hAnsi="仿宋" w:eastAsia="仿宋" w:cs="仿宋_GB2312"/>
          <w:sz w:val="32"/>
          <w:szCs w:val="32"/>
        </w:rPr>
        <w:t>对举办者投入的固定资产（含无形资产，下同）、政府补助资金形成的固定资产、社会捐赠形成的固定资产分别登记入账。</w:t>
      </w:r>
    </w:p>
    <w:p>
      <w:pPr>
        <w:spacing w:line="360" w:lineRule="auto"/>
        <w:ind w:firstLine="640"/>
        <w:rPr>
          <w:rFonts w:ascii="仿宋" w:hAnsi="仿宋" w:eastAsia="仿宋"/>
          <w:sz w:val="32"/>
          <w:szCs w:val="32"/>
        </w:rPr>
      </w:pPr>
      <w:r>
        <w:rPr>
          <w:rFonts w:hint="eastAsia" w:ascii="仿宋" w:hAnsi="仿宋" w:eastAsia="仿宋"/>
          <w:sz w:val="32"/>
          <w:szCs w:val="32"/>
        </w:rPr>
        <w:t xml:space="preserve">第二十五条 </w:t>
      </w:r>
      <w:bookmarkStart w:id="10" w:name="_Hlk67235025"/>
      <w:r>
        <w:rPr>
          <w:rFonts w:hint="eastAsia" w:ascii="仿宋" w:hAnsi="仿宋" w:eastAsia="仿宋"/>
          <w:sz w:val="32"/>
          <w:szCs w:val="32"/>
        </w:rPr>
        <w:t>民办学校应当建立健全资产清查制度，</w:t>
      </w:r>
      <w:bookmarkEnd w:id="10"/>
      <w:r>
        <w:rPr>
          <w:rFonts w:hint="eastAsia" w:ascii="仿宋" w:hAnsi="仿宋" w:eastAsia="仿宋"/>
          <w:sz w:val="32"/>
          <w:szCs w:val="32"/>
        </w:rPr>
        <w:t>规范资产配置、使用和处置管理，定期进行固定资产清查盘点，及时处理盘盈、盘亏资产，维护学校资产安全完整。</w:t>
      </w:r>
    </w:p>
    <w:p>
      <w:pPr>
        <w:spacing w:line="360" w:lineRule="auto"/>
        <w:ind w:firstLine="640"/>
        <w:rPr>
          <w:rFonts w:ascii="仿宋" w:hAnsi="仿宋" w:eastAsia="仿宋"/>
          <w:sz w:val="32"/>
          <w:szCs w:val="32"/>
        </w:rPr>
      </w:pPr>
      <w:r>
        <w:rPr>
          <w:rFonts w:hint="eastAsia" w:ascii="仿宋" w:hAnsi="仿宋" w:eastAsia="仿宋"/>
          <w:sz w:val="32"/>
          <w:szCs w:val="32"/>
        </w:rPr>
        <w:t>第二十六条 非营利性民办学校不得对外投资，不得以其资产为他人提供担保。</w:t>
      </w:r>
      <w:bookmarkStart w:id="11" w:name="_Hlk56788632"/>
    </w:p>
    <w:bookmarkEnd w:id="11"/>
    <w:p>
      <w:pPr>
        <w:topLinePunct/>
        <w:spacing w:line="360" w:lineRule="auto"/>
        <w:ind w:firstLine="640" w:firstLineChars="200"/>
        <w:contextualSpacing/>
        <w:jc w:val="left"/>
        <w:rPr>
          <w:rFonts w:ascii="仿宋" w:hAnsi="仿宋" w:eastAsia="仿宋"/>
          <w:sz w:val="32"/>
          <w:szCs w:val="32"/>
        </w:rPr>
      </w:pPr>
      <w:r>
        <w:rPr>
          <w:rFonts w:hint="eastAsia" w:ascii="仿宋" w:hAnsi="仿宋" w:eastAsia="仿宋"/>
          <w:sz w:val="32"/>
          <w:szCs w:val="32"/>
        </w:rPr>
        <w:t>营利性民办学校不得使用政府投入资产和教育教学设施设备对外投资、对外提供经济担保或者财产抵押</w:t>
      </w:r>
      <w:bookmarkStart w:id="12" w:name="_Hlk68602045"/>
      <w:r>
        <w:rPr>
          <w:rFonts w:hint="eastAsia" w:ascii="仿宋" w:hAnsi="仿宋" w:eastAsia="仿宋"/>
          <w:sz w:val="32"/>
          <w:szCs w:val="32"/>
        </w:rPr>
        <w:t>。</w:t>
      </w:r>
      <w:bookmarkEnd w:id="12"/>
    </w:p>
    <w:p>
      <w:pPr>
        <w:tabs>
          <w:tab w:val="left" w:pos="1701"/>
        </w:tabs>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第二十七条 政府补助和社会捐赠资金实行专款专用管理，任何人不得以任何理由和方式截留、挤占、挪用，不得用于支付各种罚款、捐款、赞助、投资、清偿债务等。</w:t>
      </w:r>
    </w:p>
    <w:p>
      <w:pPr>
        <w:spacing w:line="360" w:lineRule="auto"/>
        <w:ind w:firstLine="640" w:firstLineChars="200"/>
        <w:jc w:val="left"/>
        <w:rPr>
          <w:rFonts w:ascii="仿宋" w:hAnsi="仿宋" w:eastAsia="仿宋"/>
          <w:sz w:val="32"/>
          <w:szCs w:val="32"/>
        </w:rPr>
      </w:pPr>
      <w:bookmarkStart w:id="13" w:name="_Hlk59721162"/>
      <w:r>
        <w:rPr>
          <w:rFonts w:hint="eastAsia" w:ascii="仿宋" w:hAnsi="仿宋" w:eastAsia="仿宋"/>
          <w:sz w:val="32"/>
          <w:szCs w:val="32"/>
        </w:rPr>
        <w:t>第二十八条 政府规定用途和（或）使用时间限制的补助经费形成的固定资产属于限定性资产，</w:t>
      </w:r>
      <w:bookmarkStart w:id="14" w:name="_Hlk87905999"/>
      <w:r>
        <w:rPr>
          <w:rFonts w:hint="eastAsia" w:ascii="仿宋" w:hAnsi="仿宋" w:eastAsia="仿宋"/>
          <w:sz w:val="32"/>
          <w:szCs w:val="32"/>
        </w:rPr>
        <w:t>此类资产</w:t>
      </w:r>
      <w:bookmarkEnd w:id="14"/>
      <w:r>
        <w:rPr>
          <w:rFonts w:hint="eastAsia" w:ascii="仿宋" w:hAnsi="仿宋" w:eastAsia="仿宋"/>
          <w:sz w:val="32"/>
          <w:szCs w:val="32"/>
        </w:rPr>
        <w:t>在解除限定前确有需要调出、捐出或者处置的，应报经教育主管部门批准；此类资产在达到规定的使用年限，解除限定后则为非限定性资产，原则上可由学校报教育主管部门备案后自行处置。</w:t>
      </w:r>
      <w:bookmarkEnd w:id="13"/>
    </w:p>
    <w:p>
      <w:pPr>
        <w:spacing w:line="360" w:lineRule="auto"/>
        <w:ind w:firstLine="640" w:firstLineChars="200"/>
        <w:jc w:val="left"/>
        <w:rPr>
          <w:rFonts w:ascii="仿宋" w:hAnsi="仿宋" w:eastAsia="仿宋" w:cs="仿宋_GB2312"/>
          <w:sz w:val="32"/>
          <w:szCs w:val="32"/>
        </w:rPr>
      </w:pPr>
      <w:r>
        <w:rPr>
          <w:rFonts w:hint="eastAsia" w:ascii="仿宋" w:hAnsi="仿宋" w:eastAsia="仿宋"/>
          <w:sz w:val="32"/>
          <w:szCs w:val="32"/>
        </w:rPr>
        <w:t>民办学校国有资产的使用、处置、管理和监督，按照国有资产管理的有关规定执行。</w:t>
      </w:r>
    </w:p>
    <w:p>
      <w:pPr>
        <w:spacing w:line="360" w:lineRule="auto"/>
        <w:ind w:firstLine="640" w:firstLineChars="200"/>
        <w:rPr>
          <w:rFonts w:asciiTheme="minorEastAsia" w:hAnsiTheme="minorEastAsia"/>
          <w:sz w:val="28"/>
          <w:szCs w:val="28"/>
        </w:rPr>
      </w:pPr>
      <w:r>
        <w:rPr>
          <w:rFonts w:hint="eastAsia" w:ascii="仿宋" w:hAnsi="仿宋" w:eastAsia="仿宋"/>
          <w:sz w:val="32"/>
          <w:szCs w:val="32"/>
        </w:rPr>
        <w:t>民办学校接受捐赠资产的使用和管理，依照有关法律、行政法规执行。</w:t>
      </w: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第六章  负债管理</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第二十九条 负债是指过去的交易或者事项形成的现时义务，履行该义务预期会导致含有服务潜力或经济利益的资源流出民办学校。负债按其流动性分为流动负债、长期负债等。</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第三十条 民办学校应当对不同性质的负债分类管理，及时清理并按照规定办理结算，保证各项合理负债在规定期限内归还。</w:t>
      </w:r>
    </w:p>
    <w:p>
      <w:p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第三十一条 举办者自身举借债务取得的款项用于民办学校投入、建设的，仍属于举办者的债务，不得转嫁给民办学校，不得使用民办学校资金归还举办者债务及利息，对举办者自身举借的债务，民办学校不承担连带责任。</w:t>
      </w:r>
    </w:p>
    <w:p>
      <w:pPr>
        <w:spacing w:line="360" w:lineRule="auto"/>
        <w:ind w:firstLine="640" w:firstLineChars="200"/>
        <w:jc w:val="left"/>
        <w:rPr>
          <w:rFonts w:ascii="仿宋" w:hAnsi="仿宋" w:eastAsia="仿宋"/>
          <w:sz w:val="32"/>
          <w:szCs w:val="32"/>
        </w:rPr>
      </w:pPr>
      <w:r>
        <w:rPr>
          <w:rFonts w:hint="eastAsia" w:ascii="仿宋" w:hAnsi="仿宋" w:eastAsia="仿宋" w:cs="仿宋_GB2312"/>
          <w:sz w:val="32"/>
          <w:szCs w:val="32"/>
        </w:rPr>
        <w:t>第三十二条 民办学校应当建立风险预警机制，合理控制负债规模，改善债务结构，充分考虑债务风险承受能力，有效防范财务风险。</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第三十三条 民办学校不得利用教育优惠政策，以学校名义为他人办理非本校教育教学活动需要的贷款业务。确因学校发展和教育教学需要向举办者、举办者的关联方以及其他机构借款的，其利息支出不得高于银行同期同档次贷款利率。</w:t>
      </w: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 xml:space="preserve">第七章 </w:t>
      </w:r>
      <w:r>
        <w:rPr>
          <w:rFonts w:ascii="黑体" w:hAnsi="黑体" w:eastAsia="黑体"/>
          <w:b/>
          <w:bCs/>
          <w:sz w:val="32"/>
          <w:szCs w:val="32"/>
        </w:rPr>
        <w:t xml:space="preserve"> </w:t>
      </w:r>
      <w:r>
        <w:rPr>
          <w:rFonts w:hint="eastAsia" w:ascii="黑体" w:hAnsi="黑体" w:eastAsia="黑体"/>
          <w:b/>
          <w:bCs/>
          <w:sz w:val="32"/>
          <w:szCs w:val="32"/>
        </w:rPr>
        <w:t>收入管理</w:t>
      </w:r>
    </w:p>
    <w:p>
      <w:pPr>
        <w:spacing w:line="360" w:lineRule="auto"/>
        <w:ind w:firstLine="640"/>
        <w:rPr>
          <w:rFonts w:ascii="仿宋" w:hAnsi="仿宋" w:eastAsia="仿宋"/>
          <w:sz w:val="32"/>
          <w:szCs w:val="32"/>
        </w:rPr>
      </w:pPr>
      <w:r>
        <w:rPr>
          <w:rFonts w:hint="eastAsia" w:ascii="仿宋" w:hAnsi="仿宋" w:eastAsia="仿宋"/>
          <w:sz w:val="32"/>
          <w:szCs w:val="32"/>
        </w:rPr>
        <w:t>第三十四条 收入是指民办学校开展教育教学活动取得的、导致本期净资产增加的服务潜力或者经济利益的流入。收入按其来源分为捐赠收入，学杂费、住宿费等服务性收入,</w:t>
      </w:r>
      <w:r>
        <w:fldChar w:fldCharType="begin"/>
      </w:r>
      <w:r>
        <w:instrText xml:space="preserve"> HYPERLINK "http://www.chinaacc.com/kuaijishiwu/" \t "http://www.chinaacc.com/new/63/64/75/2006/5/_blank" \o "政府补助收入" </w:instrText>
      </w:r>
      <w:r>
        <w:fldChar w:fldCharType="separate"/>
      </w:r>
      <w:r>
        <w:rPr>
          <w:rFonts w:hint="eastAsia" w:ascii="仿宋" w:hAnsi="仿宋" w:eastAsia="仿宋"/>
          <w:sz w:val="32"/>
          <w:szCs w:val="32"/>
        </w:rPr>
        <w:t>政府补助收入</w:t>
      </w:r>
      <w:r>
        <w:rPr>
          <w:rFonts w:hint="eastAsia" w:ascii="仿宋" w:hAnsi="仿宋" w:eastAsia="仿宋"/>
          <w:sz w:val="32"/>
          <w:szCs w:val="32"/>
        </w:rPr>
        <w:fldChar w:fldCharType="end"/>
      </w:r>
      <w:r>
        <w:rPr>
          <w:rFonts w:hint="eastAsia" w:ascii="仿宋" w:hAnsi="仿宋" w:eastAsia="仿宋"/>
          <w:sz w:val="32"/>
          <w:szCs w:val="32"/>
        </w:rPr>
        <w:t>和其他收入等。</w:t>
      </w:r>
    </w:p>
    <w:p>
      <w:pPr>
        <w:spacing w:line="360" w:lineRule="auto"/>
        <w:ind w:firstLine="576"/>
        <w:rPr>
          <w:rFonts w:ascii="仿宋" w:hAnsi="仿宋" w:eastAsia="仿宋"/>
          <w:sz w:val="32"/>
          <w:szCs w:val="32"/>
        </w:rPr>
      </w:pPr>
      <w:r>
        <w:rPr>
          <w:rFonts w:hint="eastAsia" w:ascii="仿宋" w:hAnsi="仿宋" w:eastAsia="仿宋"/>
          <w:sz w:val="32"/>
          <w:szCs w:val="32"/>
        </w:rPr>
        <w:t>第三十五条 民办学校应当将各项收入全部纳入学校预算，统一核算，统一管理。严禁设立“小金库”，严禁设立账外账。</w:t>
      </w:r>
    </w:p>
    <w:p>
      <w:pPr>
        <w:spacing w:line="360" w:lineRule="auto"/>
        <w:ind w:firstLine="576"/>
        <w:rPr>
          <w:rFonts w:ascii="仿宋" w:hAnsi="仿宋" w:eastAsia="仿宋"/>
          <w:sz w:val="32"/>
          <w:szCs w:val="32"/>
        </w:rPr>
      </w:pPr>
      <w:r>
        <w:rPr>
          <w:rFonts w:hint="eastAsia" w:ascii="仿宋" w:hAnsi="仿宋" w:eastAsia="仿宋"/>
          <w:sz w:val="32"/>
          <w:szCs w:val="32"/>
        </w:rPr>
        <w:t>第三十六条 民办学校收到</w:t>
      </w:r>
      <w:bookmarkStart w:id="15" w:name="_Hlk57223177"/>
      <w:r>
        <w:rPr>
          <w:rFonts w:hint="eastAsia" w:ascii="仿宋" w:hAnsi="仿宋" w:eastAsia="仿宋"/>
          <w:sz w:val="32"/>
          <w:szCs w:val="32"/>
        </w:rPr>
        <w:t>政府补助收入</w:t>
      </w:r>
      <w:bookmarkEnd w:id="15"/>
      <w:r>
        <w:rPr>
          <w:rFonts w:hint="eastAsia" w:ascii="仿宋" w:hAnsi="仿宋" w:eastAsia="仿宋"/>
          <w:sz w:val="32"/>
          <w:szCs w:val="32"/>
        </w:rPr>
        <w:t>应按照资金来源、项目名称设置明细分类账，单独核算，专款专用，依法接受教育、财政、审计等有关部门的监督检查。</w:t>
      </w:r>
    </w:p>
    <w:p>
      <w:pPr>
        <w:spacing w:line="360" w:lineRule="auto"/>
        <w:ind w:firstLine="576"/>
        <w:rPr>
          <w:rFonts w:ascii="仿宋" w:hAnsi="仿宋" w:eastAsia="仿宋"/>
          <w:sz w:val="32"/>
          <w:szCs w:val="32"/>
        </w:rPr>
      </w:pPr>
      <w:r>
        <w:rPr>
          <w:rFonts w:hint="eastAsia" w:ascii="仿宋" w:hAnsi="仿宋" w:eastAsia="仿宋"/>
          <w:sz w:val="32"/>
          <w:szCs w:val="32"/>
        </w:rPr>
        <w:t>民办学校捐赠收入有明确指定用途和（或）时间限制的，参照限定性收入管理的有关规定执行。</w:t>
      </w:r>
    </w:p>
    <w:p>
      <w:pPr>
        <w:spacing w:line="360" w:lineRule="auto"/>
        <w:ind w:firstLine="576"/>
        <w:rPr>
          <w:rFonts w:ascii="仿宋" w:hAnsi="仿宋" w:eastAsia="仿宋"/>
          <w:sz w:val="32"/>
          <w:szCs w:val="32"/>
        </w:rPr>
      </w:pPr>
      <w:r>
        <w:rPr>
          <w:rFonts w:hint="eastAsia" w:ascii="仿宋" w:hAnsi="仿宋" w:eastAsia="仿宋"/>
          <w:sz w:val="32"/>
          <w:szCs w:val="32"/>
        </w:rPr>
        <w:t>第三十七条 民办学校应当严格执行国家、广东省和我市规定的收费范围、收费项目及收费标准，不得跨学年收费。学校收费应当使用符合财政部门、税务部门规定的合法票据。</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第三十八条 学生正常休学、退学，经批准转学，注册缴费后未入读的，民办学校应按退费的有关规定退还费用。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民办学校因发布虚假招生广告、招生简章，进行虚假招生宣传或者违规招生等造成学生退学的，收取的费用应全额退还。</w:t>
      </w: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 xml:space="preserve">第八章 </w:t>
      </w:r>
      <w:r>
        <w:rPr>
          <w:rFonts w:ascii="黑体" w:hAnsi="黑体" w:eastAsia="黑体"/>
          <w:b/>
          <w:bCs/>
          <w:sz w:val="32"/>
          <w:szCs w:val="32"/>
        </w:rPr>
        <w:t xml:space="preserve"> </w:t>
      </w:r>
      <w:r>
        <w:rPr>
          <w:rFonts w:hint="eastAsia" w:ascii="黑体" w:hAnsi="黑体" w:eastAsia="黑体"/>
          <w:b/>
          <w:bCs/>
          <w:sz w:val="32"/>
          <w:szCs w:val="32"/>
        </w:rPr>
        <w:t>成本费用管理</w:t>
      </w:r>
    </w:p>
    <w:p>
      <w:pPr>
        <w:spacing w:line="360" w:lineRule="auto"/>
        <w:ind w:firstLine="640"/>
        <w:rPr>
          <w:rFonts w:ascii="仿宋" w:hAnsi="仿宋" w:eastAsia="仿宋"/>
          <w:sz w:val="32"/>
          <w:szCs w:val="32"/>
        </w:rPr>
      </w:pPr>
      <w:r>
        <w:rPr>
          <w:rFonts w:hint="eastAsia" w:ascii="仿宋" w:hAnsi="仿宋" w:eastAsia="仿宋"/>
          <w:sz w:val="32"/>
          <w:szCs w:val="32"/>
        </w:rPr>
        <w:t>第三十九条 成本费用是指民办学校为开展教育教学及其他活动发生的、导致本期净资产减少的经济利益或者服务潜力的流出。成本费用按照其功能分为业务活动成本、管理费用、筹资费用、所得税费用和其他费用。</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第四十条 民办学校应当建立办学成本核算制度。办学成本包括与教育教学活动和住宿服务活动相关的人员工资福利支出、日常办学商品和服务支出、固定资产折旧等费用，不包括自然灾害等非正常损失。</w:t>
      </w:r>
    </w:p>
    <w:p>
      <w:pPr>
        <w:spacing w:line="360" w:lineRule="auto"/>
        <w:ind w:firstLine="640"/>
        <w:rPr>
          <w:rFonts w:ascii="仿宋" w:hAnsi="仿宋" w:eastAsia="仿宋"/>
          <w:sz w:val="32"/>
          <w:szCs w:val="32"/>
        </w:rPr>
      </w:pPr>
      <w:r>
        <w:rPr>
          <w:rFonts w:hint="eastAsia" w:ascii="仿宋" w:hAnsi="仿宋" w:eastAsia="仿宋"/>
          <w:sz w:val="32"/>
          <w:szCs w:val="32"/>
        </w:rPr>
        <w:t>第四十一条 民办学校要以教育教学为核心，严格费用管理，优化支出结构，提高资金使用效益。</w:t>
      </w:r>
    </w:p>
    <w:p>
      <w:pPr>
        <w:spacing w:line="360" w:lineRule="auto"/>
        <w:ind w:firstLine="640"/>
        <w:rPr>
          <w:rFonts w:ascii="仿宋" w:hAnsi="仿宋" w:eastAsia="仿宋"/>
          <w:sz w:val="32"/>
          <w:szCs w:val="32"/>
        </w:rPr>
      </w:pPr>
      <w:r>
        <w:rPr>
          <w:rFonts w:hint="eastAsia" w:ascii="仿宋" w:hAnsi="仿宋" w:eastAsia="仿宋"/>
          <w:sz w:val="32"/>
          <w:szCs w:val="32"/>
        </w:rPr>
        <w:t>民办学校收取的学费收入应当主要用于教育教学活动、改善办学条件、保障教职工待遇、发放学生奖助学金等。</w:t>
      </w:r>
    </w:p>
    <w:p>
      <w:pPr>
        <w:spacing w:line="360" w:lineRule="auto"/>
        <w:ind w:firstLine="576"/>
        <w:rPr>
          <w:rFonts w:ascii="仿宋" w:hAnsi="仿宋" w:eastAsia="仿宋"/>
          <w:sz w:val="32"/>
          <w:szCs w:val="32"/>
        </w:rPr>
      </w:pPr>
      <w:r>
        <w:rPr>
          <w:rFonts w:hint="eastAsia" w:ascii="仿宋" w:hAnsi="仿宋" w:eastAsia="仿宋"/>
          <w:sz w:val="32"/>
          <w:szCs w:val="32"/>
        </w:rPr>
        <w:t>第四十二条 民办学校按照《中小学校固定资产折旧年限表》（财会〔2018〕20号附件1）规定的折旧年限计提折旧，并据此计算办学成本。</w:t>
      </w:r>
    </w:p>
    <w:p>
      <w:pPr>
        <w:spacing w:line="360" w:lineRule="auto"/>
        <w:ind w:firstLine="576"/>
        <w:rPr>
          <w:rFonts w:ascii="仿宋" w:hAnsi="仿宋" w:eastAsia="仿宋"/>
          <w:sz w:val="32"/>
          <w:szCs w:val="32"/>
        </w:rPr>
      </w:pPr>
      <w:r>
        <w:rPr>
          <w:rFonts w:hint="eastAsia" w:ascii="仿宋" w:hAnsi="仿宋" w:eastAsia="仿宋"/>
          <w:sz w:val="32"/>
          <w:szCs w:val="32"/>
        </w:rPr>
        <w:t xml:space="preserve">第四十三条 </w:t>
      </w:r>
      <w:r>
        <w:rPr>
          <w:rFonts w:hint="eastAsia" w:ascii="仿宋" w:hAnsi="仿宋" w:eastAsia="仿宋" w:cs="宋体"/>
          <w:kern w:val="0"/>
          <w:sz w:val="32"/>
          <w:szCs w:val="32"/>
        </w:rPr>
        <w:t>民办学校无形资产的摊销年限按以下原则确定：</w:t>
      </w:r>
    </w:p>
    <w:p>
      <w:pPr>
        <w:tabs>
          <w:tab w:val="left" w:pos="1701"/>
        </w:tabs>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(一)法律规定了有效年限的，按照法律规定的有效年限作为摊销年限;</w:t>
      </w:r>
    </w:p>
    <w:p>
      <w:pPr>
        <w:tabs>
          <w:tab w:val="left" w:pos="1701"/>
        </w:tabs>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(二)法律没有规定有效年限的，按照相关合同或单位申请书中的受益年限作为摊销年限;</w:t>
      </w:r>
    </w:p>
    <w:p>
      <w:pPr>
        <w:tabs>
          <w:tab w:val="left" w:pos="1701"/>
        </w:tabs>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(三)法律没有规定有效年限、相关合同或单位申请书也没有规定受益年限的，应当根据无形资产为民办学校带来服务潜力或经济利益的实际情况，预计其使用年限;</w:t>
      </w:r>
    </w:p>
    <w:p>
      <w:pPr>
        <w:spacing w:line="360" w:lineRule="auto"/>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（四）不能合理预计无形资产使用年限的，非营利性民办学校依照《民间非营利组织会计制度》等国家相关会计制度的规定执行，营利性民办学校依照《小企业会计准则》或《企业会计准则》的规定执行。</w:t>
      </w:r>
    </w:p>
    <w:p>
      <w:pPr>
        <w:spacing w:line="360" w:lineRule="auto"/>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（五）非大批量购入、单价小于1000元的无形资产，可以于购买的当期将其成本一次性全部摊销。</w:t>
      </w:r>
    </w:p>
    <w:p>
      <w:pPr>
        <w:spacing w:line="360" w:lineRule="auto"/>
        <w:ind w:firstLine="645"/>
        <w:rPr>
          <w:rFonts w:ascii="仿宋" w:hAnsi="仿宋" w:eastAsia="仿宋"/>
          <w:sz w:val="32"/>
          <w:szCs w:val="32"/>
        </w:rPr>
      </w:pPr>
      <w:bookmarkStart w:id="16" w:name="_Hlk58563732"/>
      <w:r>
        <w:rPr>
          <w:rFonts w:hint="eastAsia" w:ascii="仿宋" w:hAnsi="仿宋" w:eastAsia="仿宋"/>
          <w:sz w:val="32"/>
          <w:szCs w:val="32"/>
        </w:rPr>
        <w:t xml:space="preserve">第四十四条 </w:t>
      </w:r>
      <w:bookmarkStart w:id="17" w:name="_Hlk55221375"/>
      <w:r>
        <w:rPr>
          <w:rFonts w:hint="eastAsia" w:ascii="仿宋" w:hAnsi="仿宋" w:eastAsia="仿宋"/>
          <w:sz w:val="32"/>
          <w:szCs w:val="32"/>
        </w:rPr>
        <w:t>政府给民办学校拨付的</w:t>
      </w:r>
      <w:bookmarkStart w:id="18" w:name="_Hlk55229190"/>
      <w:r>
        <w:rPr>
          <w:rFonts w:hint="eastAsia" w:ascii="仿宋" w:hAnsi="仿宋" w:eastAsia="仿宋"/>
          <w:sz w:val="32"/>
          <w:szCs w:val="32"/>
        </w:rPr>
        <w:t>、未指明具体项目的奖励性资金</w:t>
      </w:r>
      <w:bookmarkEnd w:id="18"/>
      <w:r>
        <w:rPr>
          <w:rFonts w:hint="eastAsia" w:ascii="仿宋" w:hAnsi="仿宋" w:eastAsia="仿宋"/>
          <w:sz w:val="32"/>
          <w:szCs w:val="32"/>
        </w:rPr>
        <w:t>，由学校按照“用于教育教学活动、改善办学条件”的原则安排使用，具体按教育主管部门有关规定执行。</w:t>
      </w:r>
      <w:bookmarkEnd w:id="16"/>
    </w:p>
    <w:bookmarkEnd w:id="17"/>
    <w:p>
      <w:pPr>
        <w:spacing w:line="360" w:lineRule="auto"/>
        <w:ind w:firstLine="640"/>
        <w:rPr>
          <w:rFonts w:ascii="仿宋" w:hAnsi="仿宋" w:eastAsia="仿宋" w:cs="Times New Roman"/>
          <w:sz w:val="30"/>
          <w:szCs w:val="30"/>
        </w:rPr>
      </w:pPr>
      <w:bookmarkStart w:id="19" w:name="_Hlk87909984"/>
      <w:r>
        <w:rPr>
          <w:rFonts w:hint="eastAsia" w:ascii="仿宋" w:hAnsi="仿宋" w:eastAsia="仿宋" w:cs="宋体"/>
          <w:kern w:val="0"/>
          <w:sz w:val="32"/>
          <w:szCs w:val="32"/>
        </w:rPr>
        <w:t>第四十五条 政府补助收入当年未使用部分可以结转下一个年度继续使用，</w:t>
      </w:r>
      <w:bookmarkStart w:id="20" w:name="_Hlk55218998"/>
      <w:r>
        <w:rPr>
          <w:rFonts w:hint="eastAsia" w:ascii="仿宋" w:hAnsi="仿宋" w:eastAsia="仿宋" w:cs="Dotum"/>
          <w:sz w:val="32"/>
          <w:szCs w:val="32"/>
        </w:rPr>
        <w:t>下</w:t>
      </w:r>
      <w:r>
        <w:rPr>
          <w:rFonts w:hint="eastAsia" w:ascii="仿宋" w:hAnsi="仿宋" w:eastAsia="仿宋" w:cs="宋体"/>
          <w:kern w:val="0"/>
          <w:sz w:val="32"/>
          <w:szCs w:val="32"/>
        </w:rPr>
        <w:t>一个年度末仍有剩余的，</w:t>
      </w:r>
      <w:r>
        <w:rPr>
          <w:rFonts w:ascii="仿宋" w:hAnsi="仿宋" w:eastAsia="仿宋" w:cs="Times New Roman"/>
          <w:sz w:val="30"/>
          <w:szCs w:val="30"/>
        </w:rPr>
        <w:t>尚未使用的政府补助结余</w:t>
      </w:r>
      <w:r>
        <w:rPr>
          <w:rFonts w:hint="eastAsia" w:ascii="仿宋" w:hAnsi="仿宋" w:eastAsia="仿宋" w:cs="Times New Roman"/>
          <w:sz w:val="30"/>
          <w:szCs w:val="30"/>
        </w:rPr>
        <w:t>资金</w:t>
      </w:r>
      <w:r>
        <w:rPr>
          <w:rFonts w:ascii="仿宋" w:hAnsi="仿宋" w:eastAsia="仿宋" w:cs="Times New Roman"/>
          <w:sz w:val="30"/>
          <w:szCs w:val="30"/>
        </w:rPr>
        <w:t>应交回</w:t>
      </w:r>
      <w:r>
        <w:rPr>
          <w:rFonts w:hint="eastAsia" w:ascii="仿宋" w:hAnsi="仿宋" w:eastAsia="仿宋" w:cs="Times New Roman"/>
          <w:sz w:val="30"/>
          <w:szCs w:val="30"/>
        </w:rPr>
        <w:t>教育主管部门或者</w:t>
      </w:r>
      <w:r>
        <w:rPr>
          <w:rFonts w:ascii="仿宋" w:hAnsi="仿宋" w:eastAsia="仿宋" w:cs="Times New Roman"/>
          <w:sz w:val="30"/>
          <w:szCs w:val="30"/>
        </w:rPr>
        <w:t>财政部门</w:t>
      </w:r>
      <w:r>
        <w:rPr>
          <w:rFonts w:hint="eastAsia" w:ascii="仿宋" w:hAnsi="仿宋" w:eastAsia="仿宋" w:cs="Times New Roman"/>
          <w:sz w:val="30"/>
          <w:szCs w:val="30"/>
        </w:rPr>
        <w:t>，专门用于发展民办教育</w:t>
      </w:r>
      <w:bookmarkEnd w:id="19"/>
      <w:bookmarkEnd w:id="20"/>
      <w:r>
        <w:rPr>
          <w:rFonts w:hint="eastAsia" w:ascii="仿宋" w:hAnsi="仿宋" w:eastAsia="仿宋" w:cs="Times New Roman"/>
          <w:sz w:val="30"/>
          <w:szCs w:val="30"/>
        </w:rPr>
        <w:t xml:space="preserve">。 </w:t>
      </w:r>
      <w:r>
        <w:rPr>
          <w:rFonts w:ascii="仿宋" w:hAnsi="仿宋" w:eastAsia="仿宋" w:cs="Times New Roman"/>
          <w:sz w:val="30"/>
          <w:szCs w:val="30"/>
        </w:rPr>
        <w:t xml:space="preserve"> </w:t>
      </w:r>
    </w:p>
    <w:p>
      <w:pPr>
        <w:spacing w:line="360" w:lineRule="auto"/>
        <w:ind w:firstLine="640"/>
        <w:rPr>
          <w:rFonts w:ascii="仿宋" w:hAnsi="仿宋" w:eastAsia="仿宋"/>
          <w:sz w:val="32"/>
          <w:szCs w:val="32"/>
        </w:rPr>
      </w:pPr>
      <w:r>
        <w:rPr>
          <w:rFonts w:hint="eastAsia" w:ascii="仿宋" w:hAnsi="仿宋" w:eastAsia="仿宋"/>
          <w:sz w:val="32"/>
          <w:szCs w:val="32"/>
        </w:rPr>
        <w:t>第四十六条 民办学校要建立健全奖助学金评定、发放管理机制，从学费收入中提取不少于5%的资金，用于奖励和资助学生。</w:t>
      </w: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第九章</w:t>
      </w:r>
      <w:r>
        <w:rPr>
          <w:rFonts w:ascii="黑体" w:hAnsi="黑体" w:eastAsia="黑体"/>
          <w:b/>
          <w:bCs/>
          <w:sz w:val="32"/>
          <w:szCs w:val="32"/>
        </w:rPr>
        <w:t xml:space="preserve"> </w:t>
      </w:r>
      <w:r>
        <w:rPr>
          <w:rFonts w:hint="eastAsia" w:ascii="黑体" w:hAnsi="黑体" w:eastAsia="黑体"/>
          <w:b/>
          <w:bCs/>
          <w:sz w:val="32"/>
          <w:szCs w:val="32"/>
        </w:rPr>
        <w:t xml:space="preserve"> 关联交易</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第四十七条 </w:t>
      </w:r>
      <w:bookmarkStart w:id="21" w:name="_Hlk87910935"/>
      <w:r>
        <w:rPr>
          <w:rFonts w:hint="eastAsia" w:ascii="仿宋" w:hAnsi="仿宋" w:eastAsia="仿宋"/>
          <w:sz w:val="32"/>
          <w:szCs w:val="32"/>
        </w:rPr>
        <w:t>实施义务教育的民办学校</w:t>
      </w:r>
      <w:bookmarkEnd w:id="21"/>
      <w:r>
        <w:rPr>
          <w:rFonts w:hint="eastAsia" w:ascii="仿宋" w:hAnsi="仿宋" w:eastAsia="仿宋"/>
          <w:sz w:val="32"/>
          <w:szCs w:val="32"/>
        </w:rPr>
        <w:t>不得与利益关联方进行交易。</w:t>
      </w:r>
    </w:p>
    <w:p>
      <w:pPr>
        <w:spacing w:line="360" w:lineRule="auto"/>
        <w:ind w:firstLine="640" w:firstLineChars="200"/>
        <w:rPr>
          <w:rFonts w:ascii="仿宋" w:hAnsi="仿宋" w:eastAsia="仿宋"/>
          <w:sz w:val="32"/>
          <w:szCs w:val="32"/>
        </w:rPr>
      </w:pPr>
      <w:bookmarkStart w:id="22" w:name="_Hlk87911113"/>
      <w:r>
        <w:rPr>
          <w:rFonts w:hint="eastAsia" w:ascii="仿宋" w:hAnsi="仿宋" w:eastAsia="仿宋"/>
          <w:sz w:val="32"/>
          <w:szCs w:val="32"/>
        </w:rPr>
        <w:t>实施非义务教育的</w:t>
      </w:r>
      <w:bookmarkEnd w:id="22"/>
      <w:r>
        <w:rPr>
          <w:rFonts w:hint="eastAsia" w:ascii="仿宋" w:hAnsi="仿宋" w:eastAsia="仿宋"/>
          <w:sz w:val="32"/>
          <w:szCs w:val="32"/>
        </w:rPr>
        <w:t>民办学校与利益关联方进行交易的，应当遵循公开、公平、公允的原则，合理定价、规范决策，不得损害国家利益、学校利益和师生权益。民办学校利益关联方利用其关联关系损害民办学校合法利益，给民办学校造成损失的，应当承担赔偿责任。</w:t>
      </w:r>
      <w:bookmarkStart w:id="23" w:name="_Hlk89265673"/>
    </w:p>
    <w:p>
      <w:pPr>
        <w:spacing w:line="360" w:lineRule="auto"/>
        <w:ind w:firstLine="640" w:firstLineChars="200"/>
        <w:rPr>
          <w:rFonts w:ascii="仿宋" w:hAnsi="仿宋" w:eastAsia="仿宋"/>
          <w:sz w:val="32"/>
          <w:szCs w:val="32"/>
        </w:rPr>
      </w:pPr>
      <w:r>
        <w:rPr>
          <w:rFonts w:hint="eastAsia" w:ascii="仿宋" w:hAnsi="仿宋" w:eastAsia="仿宋"/>
          <w:sz w:val="32"/>
          <w:szCs w:val="32"/>
        </w:rPr>
        <w:t>实施非义务教育的民办学校</w:t>
      </w:r>
      <w:bookmarkEnd w:id="23"/>
      <w:r>
        <w:rPr>
          <w:rFonts w:hint="eastAsia" w:ascii="仿宋" w:hAnsi="仿宋" w:eastAsia="仿宋"/>
          <w:sz w:val="32"/>
          <w:szCs w:val="32"/>
        </w:rPr>
        <w:t>应当建立利益关联方交易的信息披露制度。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教育等有关部门应当加强对实施非义务教育的非营利性民办学校与利益关联方签订协议的监管，并按年度对关联交易进行审查。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前款所称利益关联方是指民办学校的举办者、实际控制人、校长、董事（理事）、监事、财务负责人等以及与上述组织或个人之间存在互相控制和影响关系、可能导致民办学校利益被转移的组织或者个人。</w:t>
      </w:r>
    </w:p>
    <w:p>
      <w:pPr>
        <w:spacing w:line="360" w:lineRule="auto"/>
        <w:ind w:firstLine="578"/>
        <w:rPr>
          <w:rFonts w:ascii="仿宋" w:hAnsi="仿宋" w:eastAsia="仿宋"/>
          <w:sz w:val="32"/>
          <w:szCs w:val="32"/>
        </w:rPr>
      </w:pPr>
      <w:r>
        <w:rPr>
          <w:rFonts w:hint="eastAsia" w:ascii="仿宋" w:hAnsi="仿宋" w:eastAsia="仿宋"/>
          <w:sz w:val="32"/>
          <w:szCs w:val="32"/>
        </w:rPr>
        <w:t>第四十八条 实施非义务教育的民办学校决策机构决议关联交易事项时，决策机构成员与决议事项所涉及的单位或者个人构成关联关系的，该成员应当回避表决，不得对该事项行使表决权，也不得委托他人代为行使表决权。</w:t>
      </w:r>
    </w:p>
    <w:p>
      <w:pPr>
        <w:spacing w:line="360" w:lineRule="auto"/>
        <w:ind w:firstLine="578"/>
        <w:rPr>
          <w:rFonts w:ascii="仿宋" w:hAnsi="仿宋" w:eastAsia="仿宋"/>
          <w:sz w:val="32"/>
          <w:szCs w:val="32"/>
        </w:rPr>
      </w:pPr>
      <w:r>
        <w:rPr>
          <w:rFonts w:hint="eastAsia" w:ascii="仿宋" w:hAnsi="仿宋" w:eastAsia="仿宋"/>
          <w:sz w:val="32"/>
          <w:szCs w:val="32"/>
        </w:rPr>
        <w:t>出席会议的无关联关系决策机构成员应当超过决策机构成员半数以上，经与会人员半数以上同意，涉及关联交易事项的决议方可生效。</w:t>
      </w:r>
    </w:p>
    <w:p>
      <w:pPr>
        <w:spacing w:line="360" w:lineRule="auto"/>
        <w:ind w:firstLine="578"/>
        <w:rPr>
          <w:rFonts w:ascii="仿宋" w:hAnsi="仿宋" w:eastAsia="仿宋"/>
          <w:sz w:val="32"/>
          <w:szCs w:val="32"/>
        </w:rPr>
      </w:pPr>
      <w:r>
        <w:rPr>
          <w:rFonts w:hint="eastAsia" w:ascii="仿宋" w:hAnsi="仿宋" w:eastAsia="仿宋"/>
          <w:sz w:val="32"/>
          <w:szCs w:val="32"/>
        </w:rPr>
        <w:t>第四十九条 实施非义务教育的民办学校与利益关联方发生关联交易的，应在年度会计报表附注中充分披露关联方关系的性质、交易类型、交易金额、定价政策。</w:t>
      </w: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第十章</w:t>
      </w:r>
      <w:r>
        <w:rPr>
          <w:rFonts w:ascii="黑体" w:hAnsi="黑体" w:eastAsia="黑体"/>
          <w:b/>
          <w:bCs/>
          <w:sz w:val="32"/>
          <w:szCs w:val="32"/>
        </w:rPr>
        <w:t xml:space="preserve"> </w:t>
      </w:r>
      <w:r>
        <w:rPr>
          <w:rFonts w:hint="eastAsia" w:ascii="黑体" w:hAnsi="黑体" w:eastAsia="黑体"/>
          <w:b/>
          <w:bCs/>
          <w:sz w:val="32"/>
          <w:szCs w:val="32"/>
        </w:rPr>
        <w:t xml:space="preserve"> 结余管理</w:t>
      </w:r>
    </w:p>
    <w:p>
      <w:pPr>
        <w:spacing w:line="360" w:lineRule="auto"/>
        <w:ind w:firstLine="645"/>
        <w:rPr>
          <w:rFonts w:ascii="仿宋" w:hAnsi="仿宋" w:eastAsia="仿宋"/>
          <w:sz w:val="32"/>
          <w:szCs w:val="32"/>
        </w:rPr>
      </w:pPr>
      <w:r>
        <w:rPr>
          <w:rFonts w:hint="eastAsia" w:ascii="仿宋" w:hAnsi="仿宋" w:eastAsia="仿宋"/>
          <w:sz w:val="32"/>
          <w:szCs w:val="32"/>
        </w:rPr>
        <w:t>第五十条 办学结余是民办学校取得的全部收入扣除全部成本费用形成的年度净收益（或发生的净亏损）。非营利性民办学校的办学结余包括限定性结余和非限定性结余，营利性民办学校的办学结余为年度净利润。</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非营利性民办学校的办学结余须全部用于办学，不得向举办者分配。</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营利性民办学校的利润分配应当在年度财务结算后，依据公司法、税法的相关规定进行。</w:t>
      </w:r>
    </w:p>
    <w:p>
      <w:pPr>
        <w:spacing w:line="360" w:lineRule="auto"/>
        <w:ind w:firstLine="640" w:firstLineChars="200"/>
        <w:rPr>
          <w:rFonts w:ascii="仿宋" w:hAnsi="仿宋" w:eastAsia="仿宋"/>
          <w:sz w:val="32"/>
          <w:szCs w:val="32"/>
        </w:rPr>
      </w:pPr>
      <w:bookmarkStart w:id="24" w:name="_Hlk57631980"/>
      <w:r>
        <w:rPr>
          <w:rFonts w:hint="eastAsia" w:ascii="仿宋" w:hAnsi="仿宋" w:eastAsia="仿宋"/>
          <w:sz w:val="32"/>
          <w:szCs w:val="32"/>
        </w:rPr>
        <w:t>第五十一条 在每个会计年度结束时，民办学校应当委托会计师事务所对年度财务报告进行审计。非营利性民办学校应当从经审计的年度非限定性净资产增加额中，营利性民办学校应当从经审计的年度净收益中，按不低于年度非限定性净资产增加额或者年度净收益的10%的比例提取发展基金，用于学校的发展。</w:t>
      </w:r>
    </w:p>
    <w:bookmarkEnd w:id="24"/>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第十一章</w:t>
      </w:r>
      <w:r>
        <w:rPr>
          <w:rFonts w:ascii="黑体" w:hAnsi="黑体" w:eastAsia="黑体"/>
          <w:b/>
          <w:bCs/>
          <w:sz w:val="32"/>
          <w:szCs w:val="32"/>
        </w:rPr>
        <w:t xml:space="preserve"> </w:t>
      </w:r>
      <w:r>
        <w:rPr>
          <w:rFonts w:hint="eastAsia" w:ascii="黑体" w:hAnsi="黑体" w:eastAsia="黑体"/>
          <w:b/>
          <w:bCs/>
          <w:sz w:val="32"/>
          <w:szCs w:val="32"/>
        </w:rPr>
        <w:t xml:space="preserve"> 财务会计报告和财务分析</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第五十二条 财务会计报告由会计报表、会计报表附注和财务情况说明书组成。民办学校应当根据实际发生的经济业务事项、经过审核的会计账簿记录和有关资料编制财务会计报告，不得以虚假的经济业务事项或者资料进行会计核算、编制财务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第五十三条 民办学校财务情况说明书（含财务分析）应当对下列情况做出说明：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（一）民办学校的办学宗旨、组织结构以及人员配备等情况；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（二）民办学校业务活动的基本情况，年度预算（计划）的执行情况，产生差异的原因分析；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（三）民办学校财务管理情况，资产、负债、收入和成本费用、净资产（所有者权益）情况，下一会计期间的业务活动计划等；</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（四）对民办学校教育教学活动有重大影响的其他事项；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（五）资产负债率、生均成本、收支结构等相关财务分析指标；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（六）财务管理成效、存在主要问题和改进财务管理工作的意见与建议。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第五十四条 民办学校应当在年度会计报表附注中披露以下内容：</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（一）重要会计政策及其变更情况的说明；</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（二）举办者出资情况、会计报表重要项目及其增减变动情况；</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（三）董事会（理事会或者类似决策机构）成员的数量、变动情况及其报酬情况；</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（四）教职工薪酬总额、人均薪酬、社会保险、公积金及福利情况；</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（五）接受政府补助和接受捐赠形成的限定性资产、限定性净资产及其</w:t>
      </w:r>
      <w:bookmarkStart w:id="25" w:name="_Hlk67562760"/>
      <w:r>
        <w:rPr>
          <w:rFonts w:hint="eastAsia" w:ascii="仿宋" w:hAnsi="仿宋" w:eastAsia="仿宋"/>
          <w:sz w:val="32"/>
          <w:szCs w:val="32"/>
        </w:rPr>
        <w:t>增减变动情况</w:t>
      </w:r>
      <w:bookmarkEnd w:id="25"/>
      <w:r>
        <w:rPr>
          <w:rFonts w:hint="eastAsia" w:ascii="仿宋" w:hAnsi="仿宋" w:eastAsia="仿宋"/>
          <w:sz w:val="32"/>
          <w:szCs w:val="32"/>
        </w:rPr>
        <w:t>；</w:t>
      </w:r>
      <w:r>
        <w:rPr>
          <w:rFonts w:ascii="仿宋" w:hAnsi="仿宋" w:eastAsia="仿宋"/>
          <w:sz w:val="32"/>
          <w:szCs w:val="32"/>
        </w:rPr>
        <w:t xml:space="preserve"> </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（六）收费政策、代收费政策和资金监管政策的执行情况；</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（七）接受捐赠和政府补助项目的收入、支出、结余情况；</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（八）国有资产的投入和使用情况；</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（九）营利性民办学校净利润的分配情况；</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（十）重要收入的取得和大额成本费用支出情况；</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（十一）重大资产减值、对外承诺事项</w:t>
      </w:r>
      <w:r>
        <w:rPr>
          <w:rFonts w:hint="eastAsia" w:ascii="仿宋" w:hAnsi="仿宋" w:eastAsia="仿宋"/>
          <w:sz w:val="32"/>
          <w:szCs w:val="32"/>
          <w:lang w:eastAsia="zh-CN"/>
        </w:rPr>
        <w:t>，</w:t>
      </w:r>
      <w:r>
        <w:rPr>
          <w:rFonts w:hint="eastAsia" w:ascii="仿宋" w:hAnsi="仿宋" w:eastAsia="仿宋"/>
          <w:sz w:val="32"/>
          <w:szCs w:val="32"/>
        </w:rPr>
        <w:t>或有事项情况的说明；</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（十二）资产负债表日后调整事项的说明；</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（十三）关联交易情况；</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（十四）有助于理解和分析会计报表需要说明的其他事项。</w:t>
      </w:r>
    </w:p>
    <w:p>
      <w:pPr>
        <w:spacing w:line="360" w:lineRule="auto"/>
        <w:ind w:firstLine="645"/>
        <w:rPr>
          <w:rFonts w:ascii="仿宋" w:hAnsi="仿宋" w:eastAsia="仿宋"/>
          <w:sz w:val="32"/>
          <w:szCs w:val="32"/>
        </w:rPr>
      </w:pPr>
      <w:r>
        <w:rPr>
          <w:rFonts w:hint="eastAsia" w:ascii="仿宋" w:hAnsi="仿宋" w:eastAsia="仿宋"/>
          <w:sz w:val="32"/>
          <w:szCs w:val="32"/>
        </w:rPr>
        <w:t xml:space="preserve">第五十五条 </w:t>
      </w:r>
      <w:bookmarkStart w:id="26" w:name="_Hlk56788193"/>
      <w:r>
        <w:rPr>
          <w:rFonts w:hint="eastAsia" w:ascii="仿宋" w:hAnsi="仿宋" w:eastAsia="仿宋"/>
          <w:sz w:val="32"/>
          <w:szCs w:val="32"/>
        </w:rPr>
        <w:t>接受政府资助的民办学校</w:t>
      </w:r>
      <w:bookmarkEnd w:id="26"/>
      <w:r>
        <w:rPr>
          <w:rFonts w:hint="eastAsia" w:ascii="仿宋" w:hAnsi="仿宋" w:eastAsia="仿宋"/>
          <w:sz w:val="32"/>
          <w:szCs w:val="32"/>
        </w:rPr>
        <w:t>结余中包括政府补助项目结余及其相应的货币资金，民办学校应当在年度财务报告和年度审计报告中单独列示并加以说明。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第五十六条 </w:t>
      </w:r>
      <w:bookmarkStart w:id="27" w:name="_Hlk56873047"/>
      <w:r>
        <w:rPr>
          <w:rFonts w:hint="eastAsia" w:ascii="仿宋" w:hAnsi="仿宋" w:eastAsia="仿宋"/>
          <w:sz w:val="32"/>
          <w:szCs w:val="32"/>
        </w:rPr>
        <w:t>民办学校应当按要求向发改、教育、税务、</w:t>
      </w:r>
      <w:bookmarkStart w:id="28" w:name="_Hlk87990672"/>
      <w:r>
        <w:rPr>
          <w:rFonts w:hint="eastAsia" w:ascii="仿宋" w:hAnsi="仿宋" w:eastAsia="仿宋"/>
          <w:sz w:val="32"/>
          <w:szCs w:val="32"/>
        </w:rPr>
        <w:t>登记机关</w:t>
      </w:r>
      <w:bookmarkEnd w:id="28"/>
      <w:r>
        <w:rPr>
          <w:rFonts w:hint="eastAsia" w:ascii="仿宋" w:hAnsi="仿宋" w:eastAsia="仿宋"/>
          <w:sz w:val="32"/>
          <w:szCs w:val="32"/>
        </w:rPr>
        <w:t>等</w:t>
      </w:r>
      <w:bookmarkStart w:id="29" w:name="_Hlk92549370"/>
      <w:r>
        <w:rPr>
          <w:rFonts w:hint="eastAsia" w:ascii="仿宋" w:hAnsi="仿宋" w:eastAsia="仿宋"/>
          <w:sz w:val="32"/>
          <w:szCs w:val="32"/>
        </w:rPr>
        <w:t>有关主管部门</w:t>
      </w:r>
      <w:bookmarkEnd w:id="27"/>
      <w:r>
        <w:rPr>
          <w:rFonts w:hint="eastAsia" w:ascii="仿宋" w:hAnsi="仿宋" w:eastAsia="仿宋"/>
          <w:sz w:val="32"/>
          <w:szCs w:val="32"/>
        </w:rPr>
        <w:t>和其他会计资料使用者</w:t>
      </w:r>
      <w:bookmarkEnd w:id="29"/>
      <w:r>
        <w:rPr>
          <w:rFonts w:hint="eastAsia" w:ascii="仿宋" w:hAnsi="仿宋" w:eastAsia="仿宋"/>
          <w:sz w:val="32"/>
          <w:szCs w:val="32"/>
        </w:rPr>
        <w:t>（以下简称不同会计资料使用者）提交财务会计报告。</w:t>
      </w:r>
    </w:p>
    <w:p>
      <w:pPr>
        <w:spacing w:line="360" w:lineRule="auto"/>
        <w:ind w:firstLine="640" w:firstLineChars="200"/>
        <w:jc w:val="left"/>
        <w:rPr>
          <w:rFonts w:ascii="仿宋" w:hAnsi="仿宋" w:eastAsia="仿宋"/>
          <w:sz w:val="32"/>
          <w:szCs w:val="32"/>
        </w:rPr>
      </w:pPr>
      <w:bookmarkStart w:id="30" w:name="_Hlk92549526"/>
      <w:r>
        <w:rPr>
          <w:rFonts w:hint="eastAsia" w:ascii="仿宋" w:hAnsi="仿宋" w:eastAsia="仿宋"/>
          <w:sz w:val="32"/>
          <w:szCs w:val="32"/>
        </w:rPr>
        <w:t>民办学校向不同</w:t>
      </w:r>
      <w:bookmarkStart w:id="31" w:name="_Hlk92549475"/>
      <w:r>
        <w:rPr>
          <w:rFonts w:hint="eastAsia" w:ascii="仿宋" w:hAnsi="仿宋" w:eastAsia="仿宋"/>
          <w:sz w:val="32"/>
          <w:szCs w:val="32"/>
        </w:rPr>
        <w:t>会计资料使用者</w:t>
      </w:r>
      <w:bookmarkEnd w:id="31"/>
      <w:r>
        <w:rPr>
          <w:rFonts w:hint="eastAsia" w:ascii="仿宋" w:hAnsi="仿宋" w:eastAsia="仿宋"/>
          <w:sz w:val="32"/>
          <w:szCs w:val="32"/>
        </w:rPr>
        <w:t>提供的财务会计报告，其编制依据应当一致。如果被会计资料使用者要求提供年度审计报告的，民办学校应当随同本单位财务会计报告一并提供。</w:t>
      </w:r>
    </w:p>
    <w:bookmarkEnd w:id="30"/>
    <w:p>
      <w:pPr>
        <w:pStyle w:val="3"/>
        <w:spacing w:beforeAutospacing="0" w:afterAutospacing="0" w:line="360" w:lineRule="auto"/>
        <w:ind w:firstLine="640" w:firstLineChars="200"/>
        <w:rPr>
          <w:rFonts w:ascii="仿宋" w:hAnsi="仿宋" w:eastAsia="仿宋" w:cstheme="minorBidi"/>
          <w:kern w:val="2"/>
          <w:sz w:val="32"/>
          <w:szCs w:val="32"/>
        </w:rPr>
      </w:pPr>
      <w:r>
        <w:rPr>
          <w:rFonts w:hint="eastAsia" w:ascii="仿宋" w:hAnsi="仿宋" w:eastAsia="仿宋" w:cstheme="minorBidi"/>
          <w:kern w:val="2"/>
          <w:sz w:val="32"/>
          <w:szCs w:val="32"/>
        </w:rPr>
        <w:t>第五十七条 民办学校财务会计报告应当由法定代表人和主管财务工作的负责人、会计机构负责人(会计主管人员)签名并盖章，设置总会计师的单位，还须由总会计师签名并盖章。</w:t>
      </w:r>
    </w:p>
    <w:p>
      <w:pPr>
        <w:pStyle w:val="3"/>
        <w:spacing w:beforeAutospacing="0" w:afterAutospacing="0" w:line="360" w:lineRule="auto"/>
        <w:ind w:firstLine="640" w:firstLineChars="200"/>
        <w:rPr>
          <w:rFonts w:ascii="仿宋" w:hAnsi="仿宋" w:eastAsia="仿宋"/>
          <w:sz w:val="32"/>
          <w:szCs w:val="32"/>
        </w:rPr>
      </w:pPr>
      <w:r>
        <w:rPr>
          <w:rFonts w:hint="eastAsia" w:ascii="仿宋" w:hAnsi="仿宋" w:eastAsia="仿宋" w:cstheme="minorBidi"/>
          <w:kern w:val="2"/>
          <w:sz w:val="32"/>
          <w:szCs w:val="32"/>
        </w:rPr>
        <w:t>法定代表人应当保证财务会计报告真实、完整。</w:t>
      </w: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 xml:space="preserve">第十二章 </w:t>
      </w:r>
      <w:r>
        <w:rPr>
          <w:rFonts w:ascii="黑体" w:hAnsi="黑体" w:eastAsia="黑体"/>
          <w:b/>
          <w:bCs/>
          <w:sz w:val="32"/>
          <w:szCs w:val="32"/>
        </w:rPr>
        <w:t xml:space="preserve"> </w:t>
      </w:r>
      <w:r>
        <w:rPr>
          <w:rFonts w:hint="eastAsia" w:ascii="黑体" w:hAnsi="黑体" w:eastAsia="黑体"/>
          <w:b/>
          <w:bCs/>
          <w:sz w:val="32"/>
          <w:szCs w:val="32"/>
        </w:rPr>
        <w:t>财务清算</w:t>
      </w:r>
    </w:p>
    <w:p>
      <w:pPr>
        <w:spacing w:line="360" w:lineRule="auto"/>
        <w:ind w:firstLine="640"/>
        <w:rPr>
          <w:rFonts w:ascii="仿宋" w:hAnsi="仿宋" w:eastAsia="仿宋"/>
          <w:sz w:val="32"/>
          <w:szCs w:val="32"/>
        </w:rPr>
      </w:pPr>
      <w:r>
        <w:rPr>
          <w:rFonts w:hint="eastAsia" w:ascii="仿宋" w:hAnsi="仿宋" w:eastAsia="仿宋"/>
          <w:sz w:val="32"/>
          <w:szCs w:val="32"/>
        </w:rPr>
        <w:t>第五十八条 民办学校举办者变更、分立、合并与终止办学时，应当进行财务清算，对民办学校的财产、债权、债务等进行全面清理，编制财产目录和债权债务清单，提出财产作价依据和债权债务处理办法，形成财务清算报告。</w:t>
      </w:r>
    </w:p>
    <w:p>
      <w:pPr>
        <w:spacing w:line="360" w:lineRule="auto"/>
        <w:ind w:firstLine="640"/>
        <w:rPr>
          <w:rFonts w:ascii="仿宋" w:hAnsi="仿宋" w:eastAsia="仿宋"/>
          <w:sz w:val="32"/>
          <w:szCs w:val="32"/>
        </w:rPr>
      </w:pPr>
      <w:bookmarkStart w:id="32" w:name="_Hlk92549629"/>
      <w:r>
        <w:rPr>
          <w:rFonts w:hint="eastAsia" w:ascii="仿宋" w:hAnsi="仿宋" w:eastAsia="仿宋"/>
          <w:sz w:val="32"/>
          <w:szCs w:val="32"/>
        </w:rPr>
        <w:t>民办学校举办者变更时，</w:t>
      </w:r>
      <w:bookmarkEnd w:id="32"/>
      <w:r>
        <w:rPr>
          <w:rFonts w:hint="eastAsia" w:ascii="仿宋" w:hAnsi="仿宋" w:eastAsia="仿宋"/>
          <w:sz w:val="32"/>
          <w:szCs w:val="32"/>
        </w:rPr>
        <w:t>还需要由现任举办者与拟任举办者签订变更协议，确认民办学校财务状况。</w:t>
      </w:r>
    </w:p>
    <w:p>
      <w:pPr>
        <w:spacing w:line="360" w:lineRule="auto"/>
        <w:rPr>
          <w:rFonts w:ascii="仿宋" w:hAnsi="仿宋" w:eastAsia="仿宋"/>
          <w:sz w:val="32"/>
          <w:szCs w:val="32"/>
        </w:rPr>
      </w:pPr>
      <w:r>
        <w:rPr>
          <w:rFonts w:hint="eastAsia" w:ascii="仿宋" w:hAnsi="仿宋" w:eastAsia="仿宋"/>
          <w:sz w:val="32"/>
          <w:szCs w:val="32"/>
        </w:rPr>
        <w:t xml:space="preserve">    第五十九条 民办学校自己要求终止办学的，在教育主管部门和其他相关职能部门的指导下，由民办学校组织清算；被教育主管部门依法撤销的，由教育主管部门组织清算；因资不抵债无法继续办学而被终止的，由人民法院组织清算。</w:t>
      </w:r>
    </w:p>
    <w:p>
      <w:pPr>
        <w:pStyle w:val="3"/>
        <w:shd w:val="clear" w:color="auto" w:fill="FFFFFF"/>
        <w:topLinePunct/>
        <w:spacing w:beforeAutospacing="0" w:afterAutospacing="0" w:line="360" w:lineRule="auto"/>
        <w:ind w:firstLine="640" w:firstLineChars="200"/>
        <w:rPr>
          <w:rFonts w:ascii="仿宋" w:hAnsi="仿宋" w:eastAsia="仿宋"/>
          <w:sz w:val="32"/>
          <w:szCs w:val="32"/>
        </w:rPr>
      </w:pPr>
      <w:r>
        <w:rPr>
          <w:rFonts w:hint="eastAsia" w:ascii="仿宋" w:hAnsi="仿宋" w:eastAsia="仿宋"/>
          <w:sz w:val="32"/>
          <w:szCs w:val="32"/>
        </w:rPr>
        <w:t>第六十条 民办学校终止办学时，其财产按照下列顺序清偿:</w:t>
      </w:r>
    </w:p>
    <w:p>
      <w:pPr>
        <w:shd w:val="clear" w:color="auto" w:fill="FFFFFF"/>
        <w:topLinePunct/>
        <w:spacing w:line="36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（一）应退受教育者学费、杂费和其他费用；</w:t>
      </w:r>
    </w:p>
    <w:p>
      <w:pPr>
        <w:shd w:val="clear" w:color="auto" w:fill="FFFFFF"/>
        <w:topLinePunct/>
        <w:spacing w:line="36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（二）应发教职工的工资及应缴纳的社会保险费用；</w:t>
      </w:r>
    </w:p>
    <w:p>
      <w:pPr>
        <w:shd w:val="clear" w:color="auto" w:fill="FFFFFF"/>
        <w:topLinePunct/>
        <w:spacing w:line="36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（三）偿还其他债务。</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非营利性民办学校清偿上述债务后的剩余财产，由教育主管部门统筹继续用于其他非营利性民办学校办学。营利性民办学校清偿上述债务后的剩余财产按公司法的规定进行分配。</w:t>
      </w:r>
    </w:p>
    <w:p>
      <w:pPr>
        <w:spacing w:line="360" w:lineRule="auto"/>
        <w:jc w:val="center"/>
        <w:outlineLvl w:val="0"/>
        <w:rPr>
          <w:rFonts w:ascii="黑体" w:hAnsi="黑体" w:eastAsia="黑体"/>
          <w:b/>
          <w:bCs/>
          <w:sz w:val="32"/>
          <w:szCs w:val="32"/>
        </w:rPr>
      </w:pPr>
      <w:r>
        <w:rPr>
          <w:rFonts w:hint="eastAsia" w:ascii="黑体" w:hAnsi="黑体" w:eastAsia="黑体"/>
          <w:b/>
          <w:bCs/>
          <w:sz w:val="32"/>
          <w:szCs w:val="32"/>
        </w:rPr>
        <w:t xml:space="preserve">第十三章 </w:t>
      </w:r>
      <w:r>
        <w:rPr>
          <w:rFonts w:ascii="黑体" w:hAnsi="黑体" w:eastAsia="黑体"/>
          <w:b/>
          <w:bCs/>
          <w:sz w:val="32"/>
          <w:szCs w:val="32"/>
        </w:rPr>
        <w:t xml:space="preserve"> </w:t>
      </w:r>
      <w:r>
        <w:rPr>
          <w:rFonts w:hint="eastAsia" w:ascii="黑体" w:hAnsi="黑体" w:eastAsia="黑体"/>
          <w:b/>
          <w:bCs/>
          <w:sz w:val="32"/>
          <w:szCs w:val="32"/>
        </w:rPr>
        <w:t>财务监督和法律责任</w:t>
      </w:r>
    </w:p>
    <w:p>
      <w:pPr>
        <w:spacing w:line="360" w:lineRule="auto"/>
        <w:ind w:firstLine="576"/>
        <w:rPr>
          <w:rFonts w:ascii="仿宋" w:hAnsi="仿宋" w:eastAsia="仿宋"/>
          <w:sz w:val="32"/>
          <w:szCs w:val="32"/>
        </w:rPr>
      </w:pPr>
      <w:r>
        <w:rPr>
          <w:rFonts w:hint="eastAsia" w:ascii="仿宋" w:hAnsi="仿宋" w:eastAsia="仿宋"/>
          <w:sz w:val="32"/>
          <w:szCs w:val="32"/>
        </w:rPr>
        <w:t>第六十一条 民办学校应当</w:t>
      </w:r>
      <w:bookmarkStart w:id="33" w:name="_Hlk56941798"/>
      <w:r>
        <w:rPr>
          <w:rFonts w:hint="eastAsia" w:ascii="仿宋" w:hAnsi="仿宋" w:eastAsia="仿宋"/>
          <w:sz w:val="32"/>
          <w:szCs w:val="32"/>
        </w:rPr>
        <w:t>按照《会计基础工作规范》</w:t>
      </w:r>
      <w:bookmarkEnd w:id="33"/>
      <w:r>
        <w:rPr>
          <w:rFonts w:hint="eastAsia" w:ascii="仿宋" w:hAnsi="仿宋" w:eastAsia="仿宋"/>
          <w:sz w:val="32"/>
          <w:szCs w:val="32"/>
        </w:rPr>
        <w:t>，建立健全会计人员岗位责任制度、财务收支审批制度等，依法公开财务信息，履行会计监督职能。</w:t>
      </w:r>
    </w:p>
    <w:p>
      <w:pPr>
        <w:spacing w:line="360" w:lineRule="auto"/>
        <w:ind w:firstLine="576"/>
        <w:rPr>
          <w:rFonts w:ascii="仿宋" w:hAnsi="仿宋" w:eastAsia="仿宋"/>
          <w:sz w:val="32"/>
          <w:szCs w:val="32"/>
        </w:rPr>
      </w:pPr>
      <w:r>
        <w:rPr>
          <w:rFonts w:hint="eastAsia" w:ascii="仿宋" w:hAnsi="仿宋" w:eastAsia="仿宋"/>
          <w:sz w:val="32"/>
          <w:szCs w:val="32"/>
        </w:rPr>
        <w:t>第六十二条 民办学校应当强化自身监督机构的监督责任，依靠学校党组织、工会、教职工代表大会对学校预算、决算等重大决策事项、财务管理情况进行监督。</w:t>
      </w:r>
    </w:p>
    <w:p>
      <w:pPr>
        <w:spacing w:line="360" w:lineRule="auto"/>
        <w:ind w:firstLine="576"/>
        <w:rPr>
          <w:rFonts w:ascii="仿宋" w:hAnsi="仿宋" w:eastAsia="仿宋"/>
          <w:sz w:val="32"/>
          <w:szCs w:val="32"/>
        </w:rPr>
      </w:pPr>
      <w:r>
        <w:rPr>
          <w:rFonts w:hint="eastAsia" w:ascii="仿宋" w:hAnsi="仿宋" w:eastAsia="仿宋"/>
          <w:sz w:val="32"/>
          <w:szCs w:val="32"/>
        </w:rPr>
        <w:t>民办学校监事会（监事）可依照法律法规和民办学校章程对理事（董事）、高级管理人员以及民办学校经营异常情况等进行监督。</w:t>
      </w:r>
    </w:p>
    <w:p>
      <w:pPr>
        <w:spacing w:line="360" w:lineRule="auto"/>
        <w:ind w:firstLine="576"/>
        <w:rPr>
          <w:rFonts w:ascii="仿宋" w:hAnsi="仿宋" w:eastAsia="仿宋"/>
          <w:sz w:val="32"/>
          <w:szCs w:val="32"/>
        </w:rPr>
      </w:pPr>
      <w:r>
        <w:rPr>
          <w:rFonts w:hint="eastAsia" w:ascii="仿宋" w:hAnsi="仿宋" w:eastAsia="仿宋"/>
          <w:sz w:val="32"/>
          <w:szCs w:val="32"/>
        </w:rPr>
        <w:t>第六十三条 各级教育主管部门应建立健全内部审计制度，帮助和促进民办学校遵守国家财经法规，强化内部管理，提高资金使用效益。</w:t>
      </w:r>
    </w:p>
    <w:p>
      <w:pPr>
        <w:spacing w:line="360" w:lineRule="auto"/>
        <w:ind w:firstLine="645"/>
        <w:rPr>
          <w:rFonts w:ascii="仿宋" w:hAnsi="仿宋" w:eastAsia="仿宋"/>
          <w:sz w:val="32"/>
          <w:szCs w:val="32"/>
        </w:rPr>
      </w:pPr>
      <w:r>
        <w:rPr>
          <w:rFonts w:hint="eastAsia" w:ascii="仿宋" w:hAnsi="仿宋" w:eastAsia="仿宋"/>
          <w:sz w:val="32"/>
          <w:szCs w:val="32"/>
        </w:rPr>
        <w:t>第六十四条 各级教育主管部门应加强对民办学校财务活动的管理与监督。财务监管的重点是：学校管理制度的建立和执行、年度预算执行、资助政策落实、教育收费、办学经费来源及使用管理、债权债务管控、财政补助资金和接受捐赠资金使用管理、资产使用管理、法人财产权落实、招标采购、大额资金往来、基本建设管理</w:t>
      </w:r>
      <w:r>
        <w:rPr>
          <w:rFonts w:hint="eastAsia" w:ascii="仿宋" w:hAnsi="仿宋" w:eastAsia="仿宋"/>
          <w:sz w:val="32"/>
          <w:szCs w:val="32"/>
          <w:lang w:eastAsia="zh-CN"/>
        </w:rPr>
        <w:t>，</w:t>
      </w:r>
      <w:bookmarkStart w:id="36" w:name="_GoBack"/>
      <w:bookmarkEnd w:id="36"/>
      <w:r>
        <w:rPr>
          <w:rFonts w:hint="eastAsia" w:ascii="仿宋" w:hAnsi="仿宋" w:eastAsia="仿宋"/>
          <w:sz w:val="32"/>
          <w:szCs w:val="32"/>
        </w:rPr>
        <w:t>或有负债、关联方交易披露等方面的情况。</w:t>
      </w:r>
    </w:p>
    <w:p>
      <w:pPr>
        <w:spacing w:line="360" w:lineRule="auto"/>
        <w:ind w:firstLine="576"/>
        <w:rPr>
          <w:rFonts w:ascii="仿宋" w:hAnsi="仿宋" w:eastAsia="仿宋"/>
          <w:sz w:val="32"/>
          <w:szCs w:val="32"/>
        </w:rPr>
      </w:pPr>
      <w:r>
        <w:rPr>
          <w:rFonts w:hint="eastAsia" w:ascii="仿宋" w:hAnsi="仿宋" w:eastAsia="仿宋"/>
          <w:sz w:val="32"/>
          <w:szCs w:val="32"/>
        </w:rPr>
        <w:t>第六十五条 发改、教育、税务、审计、登记机关等政府部门按照职能职责，通过年度检查、年度财务会计报告公示、审计、建立监管平台等措施，依法对民办学校的财务状况和财务管理活动实施监督。</w:t>
      </w:r>
    </w:p>
    <w:p>
      <w:pPr>
        <w:spacing w:line="360" w:lineRule="auto"/>
        <w:ind w:firstLine="645"/>
        <w:jc w:val="left"/>
        <w:rPr>
          <w:rFonts w:ascii="仿宋" w:hAnsi="仿宋" w:eastAsia="仿宋"/>
          <w:sz w:val="32"/>
          <w:szCs w:val="32"/>
        </w:rPr>
      </w:pPr>
      <w:r>
        <w:rPr>
          <w:rFonts w:hint="eastAsia" w:ascii="仿宋" w:hAnsi="仿宋" w:eastAsia="仿宋"/>
          <w:sz w:val="32"/>
          <w:szCs w:val="32"/>
        </w:rPr>
        <w:t>第六十六条 承担民办学校审计任务的社会审计机构应当理性判断被审计资料的真实性、完整性、合法性，如实、完整地披露被审计单位的财务状况，</w:t>
      </w:r>
      <w:bookmarkStart w:id="34" w:name="_Hlk89283921"/>
      <w:r>
        <w:rPr>
          <w:rFonts w:hint="eastAsia" w:ascii="仿宋" w:hAnsi="仿宋" w:eastAsia="仿宋"/>
          <w:sz w:val="32"/>
          <w:szCs w:val="32"/>
        </w:rPr>
        <w:t>免责条款不能成为出具不实报告的理由。</w:t>
      </w:r>
    </w:p>
    <w:bookmarkEnd w:id="34"/>
    <w:p>
      <w:pPr>
        <w:spacing w:line="360" w:lineRule="auto"/>
        <w:ind w:firstLine="645"/>
        <w:rPr>
          <w:rFonts w:ascii="仿宋" w:hAnsi="仿宋" w:eastAsia="仿宋"/>
          <w:sz w:val="32"/>
          <w:szCs w:val="32"/>
        </w:rPr>
      </w:pPr>
      <w:bookmarkStart w:id="35" w:name="_Hlk89283975"/>
      <w:r>
        <w:rPr>
          <w:rFonts w:hint="eastAsia" w:ascii="仿宋" w:hAnsi="仿宋" w:eastAsia="仿宋"/>
          <w:sz w:val="32"/>
          <w:szCs w:val="32"/>
        </w:rPr>
        <w:t>教育主管部门应当对社会审计机构出具的审计报告组织抽查复审。对出具不实报告、披露虚假信息或者出具不真实、不完整审计报告的社会审计机构进行曝光，向财政部门、行业主管机构通报情况，情节严重的列入机构诚信档案。</w:t>
      </w:r>
    </w:p>
    <w:bookmarkEnd w:id="35"/>
    <w:p>
      <w:pPr>
        <w:spacing w:line="360" w:lineRule="auto"/>
        <w:ind w:firstLine="645"/>
        <w:rPr>
          <w:rFonts w:ascii="仿宋" w:hAnsi="仿宋" w:eastAsia="仿宋"/>
          <w:sz w:val="32"/>
          <w:szCs w:val="32"/>
        </w:rPr>
      </w:pPr>
      <w:r>
        <w:rPr>
          <w:rFonts w:hint="eastAsia" w:ascii="仿宋" w:hAnsi="仿宋" w:eastAsia="仿宋"/>
          <w:sz w:val="32"/>
          <w:szCs w:val="32"/>
        </w:rPr>
        <w:t>第六十七条 民办学校在有关主管部门、审计机构进行监督检查或者审计时，应当积极配合，如实提供会计凭证、会计账簿、会计报表和其他会计资料以及有关情况，不得拒绝、隐匿、谎报，并对所提供会计资料和有关文件的真实性、完整性负责。</w:t>
      </w:r>
    </w:p>
    <w:p>
      <w:pPr>
        <w:spacing w:line="360" w:lineRule="auto"/>
        <w:ind w:firstLine="645"/>
        <w:rPr>
          <w:rFonts w:ascii="仿宋" w:hAnsi="仿宋" w:eastAsia="仿宋"/>
          <w:sz w:val="32"/>
          <w:szCs w:val="32"/>
        </w:rPr>
      </w:pPr>
      <w:r>
        <w:rPr>
          <w:rFonts w:hint="eastAsia" w:ascii="仿宋" w:hAnsi="仿宋" w:eastAsia="仿宋"/>
          <w:sz w:val="32"/>
          <w:szCs w:val="32"/>
        </w:rPr>
        <w:t>民办学校未按规定提交年度审计报告的，由教育主管部门责令限期提交；逾期不提交的，教育主管部门可以委托审计机构对其进行审计。</w:t>
      </w:r>
    </w:p>
    <w:p>
      <w:pPr>
        <w:spacing w:line="360" w:lineRule="auto"/>
        <w:ind w:firstLine="645"/>
        <w:rPr>
          <w:rFonts w:ascii="仿宋" w:hAnsi="仿宋" w:eastAsia="仿宋"/>
          <w:sz w:val="32"/>
          <w:szCs w:val="32"/>
        </w:rPr>
      </w:pPr>
      <w:r>
        <w:rPr>
          <w:rFonts w:ascii="仿宋" w:hAnsi="仿宋" w:eastAsia="仿宋"/>
          <w:sz w:val="32"/>
          <w:szCs w:val="32"/>
        </w:rPr>
        <w:t>第六十</w:t>
      </w:r>
      <w:r>
        <w:rPr>
          <w:rFonts w:hint="eastAsia" w:ascii="仿宋" w:hAnsi="仿宋" w:eastAsia="仿宋"/>
          <w:sz w:val="32"/>
          <w:szCs w:val="32"/>
        </w:rPr>
        <w:t>八</w:t>
      </w:r>
      <w:r>
        <w:rPr>
          <w:rFonts w:ascii="仿宋" w:hAnsi="仿宋" w:eastAsia="仿宋"/>
          <w:sz w:val="32"/>
          <w:szCs w:val="32"/>
        </w:rPr>
        <w:t>条</w:t>
      </w:r>
      <w:r>
        <w:rPr>
          <w:rFonts w:hint="eastAsia" w:ascii="仿宋" w:hAnsi="仿宋" w:eastAsia="仿宋"/>
          <w:sz w:val="32"/>
          <w:szCs w:val="32"/>
        </w:rPr>
        <w:t xml:space="preserve"> 民办学校</w:t>
      </w:r>
      <w:r>
        <w:rPr>
          <w:rFonts w:ascii="仿宋" w:hAnsi="仿宋" w:eastAsia="仿宋"/>
          <w:sz w:val="32"/>
          <w:szCs w:val="32"/>
        </w:rPr>
        <w:t>有下列行为之一的，</w:t>
      </w:r>
      <w:r>
        <w:rPr>
          <w:rFonts w:hint="eastAsia" w:ascii="仿宋" w:hAnsi="仿宋" w:eastAsia="仿宋"/>
          <w:sz w:val="32"/>
          <w:szCs w:val="32"/>
        </w:rPr>
        <w:t>按照《中华人民共和国会计法》的有关规定</w:t>
      </w:r>
      <w:r>
        <w:rPr>
          <w:rFonts w:ascii="仿宋" w:hAnsi="仿宋" w:eastAsia="仿宋"/>
          <w:sz w:val="32"/>
          <w:szCs w:val="32"/>
        </w:rPr>
        <w:t>处罚</w:t>
      </w:r>
      <w:r>
        <w:rPr>
          <w:rFonts w:ascii="仿宋" w:hAnsi="仿宋" w:eastAsia="仿宋"/>
          <w:color w:val="auto"/>
          <w:sz w:val="32"/>
          <w:szCs w:val="32"/>
        </w:rPr>
        <w:t>，构成犯罪的，依法追究刑事责任。</w:t>
      </w:r>
    </w:p>
    <w:p>
      <w:pPr>
        <w:spacing w:line="360" w:lineRule="auto"/>
        <w:ind w:firstLine="645"/>
        <w:rPr>
          <w:rFonts w:ascii="仿宋" w:hAnsi="仿宋" w:eastAsia="仿宋"/>
          <w:sz w:val="32"/>
          <w:szCs w:val="32"/>
        </w:rPr>
      </w:pPr>
      <w:r>
        <w:rPr>
          <w:rFonts w:ascii="仿宋" w:hAnsi="仿宋" w:eastAsia="仿宋"/>
          <w:sz w:val="32"/>
          <w:szCs w:val="32"/>
        </w:rPr>
        <w:t>(一)不依法设置会计账簿的;</w:t>
      </w:r>
    </w:p>
    <w:p>
      <w:pPr>
        <w:spacing w:line="360" w:lineRule="auto"/>
        <w:ind w:firstLine="645"/>
        <w:rPr>
          <w:rFonts w:ascii="仿宋" w:hAnsi="仿宋" w:eastAsia="仿宋"/>
          <w:sz w:val="32"/>
          <w:szCs w:val="32"/>
        </w:rPr>
      </w:pPr>
      <w:r>
        <w:rPr>
          <w:rFonts w:ascii="仿宋" w:hAnsi="仿宋" w:eastAsia="仿宋"/>
          <w:sz w:val="32"/>
          <w:szCs w:val="32"/>
        </w:rPr>
        <w:t>(二)私设会计账簿的;</w:t>
      </w:r>
    </w:p>
    <w:p>
      <w:pPr>
        <w:spacing w:line="360" w:lineRule="auto"/>
        <w:ind w:firstLine="645"/>
        <w:rPr>
          <w:rFonts w:ascii="仿宋" w:hAnsi="仿宋" w:eastAsia="仿宋"/>
          <w:sz w:val="32"/>
          <w:szCs w:val="32"/>
        </w:rPr>
      </w:pPr>
      <w:r>
        <w:rPr>
          <w:rFonts w:ascii="仿宋" w:hAnsi="仿宋" w:eastAsia="仿宋"/>
          <w:sz w:val="32"/>
          <w:szCs w:val="32"/>
        </w:rPr>
        <w:t>(三)未按照规定填制、取得原始凭证或者填制、取得的原始凭证不符合规定的;</w:t>
      </w:r>
    </w:p>
    <w:p>
      <w:pPr>
        <w:spacing w:line="360" w:lineRule="auto"/>
        <w:ind w:firstLine="645"/>
        <w:rPr>
          <w:rFonts w:ascii="仿宋" w:hAnsi="仿宋" w:eastAsia="仿宋"/>
          <w:sz w:val="32"/>
          <w:szCs w:val="32"/>
        </w:rPr>
      </w:pPr>
      <w:r>
        <w:rPr>
          <w:rFonts w:ascii="仿宋" w:hAnsi="仿宋" w:eastAsia="仿宋"/>
          <w:sz w:val="32"/>
          <w:szCs w:val="32"/>
        </w:rPr>
        <w:t>(四)以未经审核的会计凭证为依据登记会计账簿或者登记会计账簿不符合规定的;</w:t>
      </w:r>
    </w:p>
    <w:p>
      <w:pPr>
        <w:spacing w:line="360" w:lineRule="auto"/>
        <w:ind w:firstLine="645"/>
        <w:rPr>
          <w:rFonts w:ascii="仿宋" w:hAnsi="仿宋" w:eastAsia="仿宋"/>
          <w:sz w:val="32"/>
          <w:szCs w:val="32"/>
        </w:rPr>
      </w:pPr>
      <w:r>
        <w:rPr>
          <w:rFonts w:ascii="仿宋" w:hAnsi="仿宋" w:eastAsia="仿宋"/>
          <w:sz w:val="32"/>
          <w:szCs w:val="32"/>
        </w:rPr>
        <w:t>(五)随意变更会计处理方法的;</w:t>
      </w:r>
    </w:p>
    <w:p>
      <w:pPr>
        <w:spacing w:line="360" w:lineRule="auto"/>
        <w:ind w:firstLine="645"/>
        <w:rPr>
          <w:rFonts w:ascii="仿宋" w:hAnsi="仿宋" w:eastAsia="仿宋"/>
          <w:sz w:val="32"/>
          <w:szCs w:val="32"/>
        </w:rPr>
      </w:pPr>
      <w:r>
        <w:rPr>
          <w:rFonts w:ascii="仿宋" w:hAnsi="仿宋" w:eastAsia="仿宋"/>
          <w:sz w:val="32"/>
          <w:szCs w:val="32"/>
        </w:rPr>
        <w:t>(六)向不同的会计资料使用者提供的财务会计报告编制依据不一致的;</w:t>
      </w:r>
    </w:p>
    <w:p>
      <w:pPr>
        <w:spacing w:line="360" w:lineRule="auto"/>
        <w:ind w:firstLine="645"/>
        <w:rPr>
          <w:rFonts w:ascii="仿宋" w:hAnsi="仿宋" w:eastAsia="仿宋"/>
          <w:sz w:val="32"/>
          <w:szCs w:val="32"/>
        </w:rPr>
      </w:pPr>
      <w:r>
        <w:rPr>
          <w:rFonts w:ascii="仿宋" w:hAnsi="仿宋" w:eastAsia="仿宋"/>
          <w:sz w:val="32"/>
          <w:szCs w:val="32"/>
        </w:rPr>
        <w:t>(七)未按照规定使用会计记录文字或者记账本位币的;</w:t>
      </w:r>
    </w:p>
    <w:p>
      <w:pPr>
        <w:spacing w:line="360" w:lineRule="auto"/>
        <w:ind w:firstLine="645"/>
        <w:rPr>
          <w:rFonts w:ascii="仿宋" w:hAnsi="仿宋" w:eastAsia="仿宋"/>
          <w:sz w:val="32"/>
          <w:szCs w:val="32"/>
        </w:rPr>
      </w:pPr>
      <w:r>
        <w:rPr>
          <w:rFonts w:ascii="仿宋" w:hAnsi="仿宋" w:eastAsia="仿宋"/>
          <w:sz w:val="32"/>
          <w:szCs w:val="32"/>
        </w:rPr>
        <w:t>(八)未按照规定保管会计资料，致使会计资料毁损、灭失的;</w:t>
      </w:r>
    </w:p>
    <w:p>
      <w:pPr>
        <w:spacing w:line="360" w:lineRule="auto"/>
        <w:ind w:firstLine="645"/>
        <w:rPr>
          <w:rFonts w:ascii="仿宋" w:hAnsi="仿宋" w:eastAsia="仿宋"/>
          <w:sz w:val="32"/>
          <w:szCs w:val="32"/>
        </w:rPr>
      </w:pPr>
      <w:r>
        <w:rPr>
          <w:rFonts w:ascii="仿宋" w:hAnsi="仿宋" w:eastAsia="仿宋"/>
          <w:sz w:val="32"/>
          <w:szCs w:val="32"/>
        </w:rPr>
        <w:t>(九)未按照规定建立并实施单位内部会计监督制度或者拒绝依法实施的监督或者不如实提供有关会计资料及有关情况的;</w:t>
      </w:r>
    </w:p>
    <w:p>
      <w:pPr>
        <w:spacing w:line="360" w:lineRule="auto"/>
        <w:ind w:firstLine="645"/>
        <w:rPr>
          <w:rFonts w:ascii="仿宋" w:hAnsi="仿宋" w:eastAsia="仿宋"/>
          <w:sz w:val="32"/>
          <w:szCs w:val="32"/>
        </w:rPr>
      </w:pPr>
      <w:r>
        <w:rPr>
          <w:rFonts w:ascii="仿宋" w:hAnsi="仿宋" w:eastAsia="仿宋"/>
          <w:sz w:val="32"/>
          <w:szCs w:val="32"/>
        </w:rPr>
        <w:t>(十)任用会计人员不符合法律法规规定的；</w:t>
      </w:r>
    </w:p>
    <w:p>
      <w:pPr>
        <w:spacing w:line="360" w:lineRule="auto"/>
        <w:ind w:firstLine="645"/>
        <w:rPr>
          <w:rFonts w:ascii="仿宋" w:hAnsi="仿宋" w:eastAsia="仿宋"/>
          <w:sz w:val="32"/>
          <w:szCs w:val="32"/>
        </w:rPr>
      </w:pPr>
      <w:r>
        <w:rPr>
          <w:rFonts w:hint="eastAsia" w:ascii="仿宋" w:hAnsi="仿宋" w:eastAsia="仿宋"/>
          <w:sz w:val="32"/>
          <w:szCs w:val="32"/>
        </w:rPr>
        <w:t>（十一）</w:t>
      </w:r>
      <w:r>
        <w:rPr>
          <w:rFonts w:ascii="仿宋" w:hAnsi="仿宋" w:eastAsia="仿宋"/>
          <w:sz w:val="32"/>
          <w:szCs w:val="32"/>
        </w:rPr>
        <w:t>伪造、变造会计凭证、会计账簿，编制虚假财务会计报告的；</w:t>
      </w:r>
    </w:p>
    <w:p>
      <w:pPr>
        <w:spacing w:line="360" w:lineRule="auto"/>
        <w:ind w:firstLine="645"/>
        <w:rPr>
          <w:rFonts w:ascii="仿宋" w:hAnsi="仿宋" w:eastAsia="仿宋"/>
          <w:sz w:val="32"/>
          <w:szCs w:val="32"/>
        </w:rPr>
      </w:pPr>
      <w:r>
        <w:rPr>
          <w:rFonts w:hint="eastAsia" w:ascii="仿宋" w:hAnsi="仿宋" w:eastAsia="仿宋"/>
          <w:sz w:val="32"/>
          <w:szCs w:val="32"/>
        </w:rPr>
        <w:t>（十二）</w:t>
      </w:r>
      <w:r>
        <w:rPr>
          <w:rFonts w:ascii="仿宋" w:hAnsi="仿宋" w:eastAsia="仿宋"/>
          <w:sz w:val="32"/>
          <w:szCs w:val="32"/>
        </w:rPr>
        <w:t>隐匿或者故意销毁依法应当保存的会计凭证、会计账簿、财务会计报告</w:t>
      </w:r>
      <w:r>
        <w:rPr>
          <w:rFonts w:hint="eastAsia" w:ascii="仿宋" w:hAnsi="仿宋" w:eastAsia="仿宋"/>
          <w:sz w:val="32"/>
          <w:szCs w:val="32"/>
        </w:rPr>
        <w:t>的</w:t>
      </w:r>
      <w:r>
        <w:rPr>
          <w:rFonts w:ascii="仿宋" w:hAnsi="仿宋" w:eastAsia="仿宋"/>
          <w:sz w:val="32"/>
          <w:szCs w:val="32"/>
        </w:rPr>
        <w:t>；</w:t>
      </w:r>
    </w:p>
    <w:p>
      <w:pPr>
        <w:spacing w:line="360" w:lineRule="auto"/>
        <w:ind w:firstLine="645"/>
        <w:rPr>
          <w:rFonts w:ascii="仿宋" w:hAnsi="仿宋" w:eastAsia="仿宋"/>
          <w:sz w:val="32"/>
          <w:szCs w:val="32"/>
        </w:rPr>
      </w:pPr>
      <w:r>
        <w:rPr>
          <w:rFonts w:hint="eastAsia" w:ascii="仿宋" w:hAnsi="仿宋" w:eastAsia="仿宋"/>
          <w:sz w:val="32"/>
          <w:szCs w:val="32"/>
        </w:rPr>
        <w:t>（十三）</w:t>
      </w:r>
      <w:r>
        <w:rPr>
          <w:rFonts w:ascii="仿宋" w:hAnsi="仿宋" w:eastAsia="仿宋"/>
          <w:sz w:val="32"/>
          <w:szCs w:val="32"/>
        </w:rPr>
        <w:t>授意、指使、强令会计机构、会计人员及其他人员伪造、变造会计凭证、会计账簿，编制虚假财务会计报告或者隐匿、故意销毁依法应当保存的会计凭证、会计账簿、财务会计报告</w:t>
      </w:r>
      <w:r>
        <w:rPr>
          <w:rFonts w:hint="eastAsia" w:ascii="仿宋" w:hAnsi="仿宋" w:eastAsia="仿宋"/>
          <w:sz w:val="32"/>
          <w:szCs w:val="32"/>
        </w:rPr>
        <w:t>的</w:t>
      </w:r>
      <w:r>
        <w:rPr>
          <w:rFonts w:ascii="仿宋" w:hAnsi="仿宋" w:eastAsia="仿宋"/>
          <w:sz w:val="32"/>
          <w:szCs w:val="32"/>
        </w:rPr>
        <w:t>；</w:t>
      </w:r>
    </w:p>
    <w:p>
      <w:pPr>
        <w:spacing w:line="360" w:lineRule="auto"/>
        <w:ind w:firstLine="645"/>
        <w:rPr>
          <w:rFonts w:ascii="仿宋" w:hAnsi="仿宋" w:eastAsia="仿宋"/>
          <w:sz w:val="32"/>
          <w:szCs w:val="32"/>
        </w:rPr>
      </w:pPr>
      <w:r>
        <w:rPr>
          <w:rFonts w:hint="eastAsia" w:ascii="仿宋" w:hAnsi="仿宋" w:eastAsia="仿宋"/>
          <w:sz w:val="32"/>
          <w:szCs w:val="32"/>
        </w:rPr>
        <w:t>（十四）</w:t>
      </w:r>
      <w:r>
        <w:rPr>
          <w:rFonts w:ascii="仿宋" w:hAnsi="仿宋" w:eastAsia="仿宋"/>
          <w:sz w:val="32"/>
          <w:szCs w:val="32"/>
        </w:rPr>
        <w:t>单位负责人对依法履行职责、抵制违反本法规定行为的会计人员以降级、撤职、调离工作岗位、解聘或者开除等方式实行打击报复</w:t>
      </w:r>
      <w:r>
        <w:rPr>
          <w:rFonts w:hint="eastAsia" w:ascii="仿宋" w:hAnsi="仿宋" w:eastAsia="仿宋"/>
          <w:sz w:val="32"/>
          <w:szCs w:val="32"/>
        </w:rPr>
        <w:t>的。</w:t>
      </w:r>
    </w:p>
    <w:p>
      <w:pPr>
        <w:spacing w:line="360" w:lineRule="auto"/>
        <w:ind w:firstLine="645"/>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rPr>
        <w:t>六十九</w:t>
      </w:r>
      <w:r>
        <w:rPr>
          <w:rFonts w:ascii="仿宋" w:hAnsi="仿宋" w:eastAsia="仿宋"/>
          <w:sz w:val="32"/>
          <w:szCs w:val="32"/>
        </w:rPr>
        <w:t>条</w:t>
      </w:r>
      <w:r>
        <w:rPr>
          <w:rFonts w:hint="eastAsia" w:ascii="仿宋" w:hAnsi="仿宋" w:eastAsia="仿宋"/>
          <w:sz w:val="32"/>
          <w:szCs w:val="32"/>
        </w:rPr>
        <w:t xml:space="preserve"> </w:t>
      </w:r>
      <w:r>
        <w:rPr>
          <w:rFonts w:ascii="仿宋" w:hAnsi="仿宋" w:eastAsia="仿宋"/>
          <w:sz w:val="32"/>
          <w:szCs w:val="32"/>
        </w:rPr>
        <w:t>民办学校财务行为违反</w:t>
      </w:r>
      <w:r>
        <w:rPr>
          <w:rFonts w:hint="eastAsia" w:ascii="仿宋" w:hAnsi="仿宋" w:eastAsia="仿宋"/>
          <w:sz w:val="32"/>
          <w:szCs w:val="32"/>
        </w:rPr>
        <w:t>《中华人民共和国民办教育促进法》</w:t>
      </w:r>
      <w:r>
        <w:rPr>
          <w:rFonts w:hint="eastAsia" w:ascii="仿宋" w:hAnsi="仿宋" w:eastAsia="仿宋"/>
          <w:sz w:val="32"/>
          <w:szCs w:val="32"/>
          <w:lang w:val="en-US" w:eastAsia="zh-CN"/>
        </w:rPr>
        <w:t>及其实施条例</w:t>
      </w:r>
      <w:r>
        <w:rPr>
          <w:rFonts w:hint="eastAsia" w:ascii="仿宋" w:hAnsi="仿宋" w:eastAsia="仿宋"/>
          <w:sz w:val="32"/>
          <w:szCs w:val="32"/>
        </w:rPr>
        <w:t>等</w:t>
      </w:r>
      <w:r>
        <w:rPr>
          <w:rFonts w:ascii="仿宋" w:hAnsi="仿宋" w:eastAsia="仿宋"/>
          <w:sz w:val="32"/>
          <w:szCs w:val="32"/>
        </w:rPr>
        <w:t>其他法律法规的，由</w:t>
      </w:r>
      <w:r>
        <w:rPr>
          <w:rFonts w:hint="eastAsia" w:ascii="仿宋" w:hAnsi="仿宋" w:eastAsia="仿宋"/>
          <w:sz w:val="32"/>
          <w:szCs w:val="32"/>
        </w:rPr>
        <w:t>有</w:t>
      </w:r>
      <w:r>
        <w:rPr>
          <w:rFonts w:ascii="仿宋" w:hAnsi="仿宋" w:eastAsia="仿宋"/>
          <w:sz w:val="32"/>
          <w:szCs w:val="32"/>
        </w:rPr>
        <w:t>关部门在各自职权范围内按照相关法律法规依法处罚。</w:t>
      </w:r>
    </w:p>
    <w:p>
      <w:pPr>
        <w:spacing w:line="360" w:lineRule="auto"/>
        <w:jc w:val="center"/>
        <w:outlineLvl w:val="0"/>
        <w:rPr>
          <w:rFonts w:ascii="黑体" w:hAnsi="黑体" w:eastAsia="黑体"/>
          <w:sz w:val="32"/>
          <w:szCs w:val="32"/>
        </w:rPr>
      </w:pPr>
      <w:r>
        <w:rPr>
          <w:rFonts w:hint="eastAsia" w:ascii="黑体" w:hAnsi="黑体" w:eastAsia="黑体"/>
          <w:b/>
          <w:bCs/>
          <w:sz w:val="32"/>
          <w:szCs w:val="32"/>
        </w:rPr>
        <w:t>第十四章</w:t>
      </w:r>
      <w:r>
        <w:rPr>
          <w:rFonts w:ascii="黑体" w:hAnsi="黑体" w:eastAsia="黑体"/>
          <w:b/>
          <w:bCs/>
          <w:sz w:val="32"/>
          <w:szCs w:val="32"/>
        </w:rPr>
        <w:t xml:space="preserve"> </w:t>
      </w:r>
      <w:r>
        <w:rPr>
          <w:rFonts w:hint="eastAsia" w:ascii="黑体" w:hAnsi="黑体" w:eastAsia="黑体"/>
          <w:b/>
          <w:bCs/>
          <w:sz w:val="32"/>
          <w:szCs w:val="32"/>
        </w:rPr>
        <w:t>附则</w:t>
      </w:r>
    </w:p>
    <w:p>
      <w:pPr>
        <w:spacing w:line="360" w:lineRule="auto"/>
        <w:ind w:firstLine="576"/>
        <w:rPr>
          <w:rFonts w:ascii="仿宋" w:hAnsi="仿宋" w:eastAsia="仿宋"/>
          <w:sz w:val="32"/>
          <w:szCs w:val="32"/>
        </w:rPr>
      </w:pPr>
      <w:r>
        <w:rPr>
          <w:rFonts w:hint="eastAsia" w:ascii="仿宋" w:hAnsi="仿宋" w:eastAsia="仿宋"/>
          <w:sz w:val="32"/>
          <w:szCs w:val="32"/>
        </w:rPr>
        <w:t>第七十条  本办法自2</w:t>
      </w:r>
      <w:r>
        <w:rPr>
          <w:rFonts w:ascii="仿宋" w:hAnsi="仿宋" w:eastAsia="仿宋"/>
          <w:sz w:val="32"/>
          <w:szCs w:val="32"/>
        </w:rPr>
        <w:t>022</w:t>
      </w:r>
      <w:r>
        <w:rPr>
          <w:rFonts w:hint="eastAsia" w:ascii="仿宋" w:hAnsi="仿宋" w:eastAsia="仿宋"/>
          <w:sz w:val="32"/>
          <w:szCs w:val="32"/>
        </w:rPr>
        <w:t>年*月*日起实施，有效期五年。各区可结合相关法律法规和实际情况制定相关业务的具体管理办法。</w:t>
      </w:r>
    </w:p>
    <w:p>
      <w:pPr>
        <w:spacing w:line="360" w:lineRule="auto"/>
        <w:ind w:firstLine="576"/>
        <w:rPr>
          <w:rFonts w:ascii="仿宋" w:hAnsi="仿宋" w:eastAsia="仿宋"/>
          <w:sz w:val="32"/>
          <w:szCs w:val="32"/>
        </w:rPr>
      </w:pPr>
      <w:r>
        <w:rPr>
          <w:rFonts w:hint="eastAsia" w:ascii="仿宋" w:hAnsi="仿宋" w:eastAsia="仿宋"/>
          <w:sz w:val="32"/>
          <w:szCs w:val="32"/>
        </w:rPr>
        <w:t>本办法未涉及到的财务管理规范，按相关财务规范的规定执行。</w:t>
      </w:r>
    </w:p>
    <w:p>
      <w:pPr>
        <w:spacing w:line="360" w:lineRule="auto"/>
        <w:ind w:firstLine="576"/>
        <w:rPr>
          <w:rFonts w:ascii="仿宋" w:hAnsi="仿宋" w:eastAsia="仿宋"/>
          <w:sz w:val="32"/>
          <w:szCs w:val="32"/>
        </w:rPr>
      </w:pPr>
      <w:r>
        <w:rPr>
          <w:rFonts w:hint="eastAsia" w:ascii="仿宋" w:hAnsi="仿宋" w:eastAsia="仿宋"/>
          <w:sz w:val="32"/>
          <w:szCs w:val="32"/>
        </w:rPr>
        <w:t>第七十一条 本办法由深圳市教育局负责解释。</w:t>
      </w:r>
    </w:p>
    <w:p>
      <w:pPr>
        <w:spacing w:line="360" w:lineRule="auto"/>
        <w:ind w:firstLine="576"/>
        <w:rPr>
          <w:rFonts w:ascii="仿宋" w:hAnsi="仿宋" w:eastAsia="仿宋"/>
          <w:sz w:val="32"/>
          <w:szCs w:val="32"/>
        </w:rPr>
      </w:pPr>
    </w:p>
    <w:p>
      <w:pPr>
        <w:spacing w:line="360" w:lineRule="auto"/>
        <w:ind w:firstLine="578"/>
        <w:outlineLvl w:val="0"/>
        <w:rPr>
          <w:rFonts w:ascii="仿宋" w:hAnsi="仿宋" w:eastAsia="仿宋"/>
          <w:sz w:val="32"/>
          <w:szCs w:val="32"/>
        </w:rPr>
      </w:pPr>
      <w:r>
        <w:rPr>
          <w:rFonts w:hint="eastAsia" w:ascii="仿宋" w:hAnsi="仿宋" w:eastAsia="仿宋"/>
          <w:sz w:val="32"/>
          <w:szCs w:val="32"/>
        </w:rPr>
        <w:t>附：中小学校固定资产折旧年限表</w:t>
      </w:r>
    </w:p>
    <w:p>
      <w:pPr>
        <w:widowControl/>
        <w:spacing w:line="360" w:lineRule="auto"/>
        <w:jc w:val="left"/>
        <w:rPr>
          <w:rFonts w:asciiTheme="minorEastAsia" w:hAnsiTheme="minorEastAsia"/>
          <w:sz w:val="24"/>
          <w:szCs w:val="24"/>
        </w:rPr>
      </w:pPr>
      <w:r>
        <w:rPr>
          <w:rFonts w:ascii="仿宋" w:hAnsi="仿宋" w:eastAsia="仿宋"/>
          <w:sz w:val="32"/>
          <w:szCs w:val="32"/>
        </w:rPr>
        <w:br w:type="page"/>
      </w:r>
    </w:p>
    <w:p>
      <w:pPr>
        <w:pStyle w:val="2"/>
        <w:keepNext w:val="0"/>
        <w:keepLines w:val="0"/>
        <w:spacing w:before="0" w:after="0"/>
        <w:ind w:firstLine="482"/>
        <w:rPr>
          <w:rFonts w:cs="Times New Roman" w:asciiTheme="minorEastAsia" w:hAnsiTheme="minorEastAsia" w:eastAsiaTheme="minorEastAsia"/>
          <w:szCs w:val="24"/>
        </w:rPr>
      </w:pPr>
      <w:r>
        <w:rPr>
          <w:rFonts w:cs="Times New Roman" w:asciiTheme="minorEastAsia" w:hAnsiTheme="minorEastAsia" w:eastAsiaTheme="minorEastAsia"/>
          <w:szCs w:val="24"/>
        </w:rPr>
        <w:t>中小学校固定资产折旧年限表</w:t>
      </w:r>
    </w:p>
    <w:tbl>
      <w:tblPr>
        <w:tblStyle w:val="4"/>
        <w:tblW w:w="928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12"/>
        <w:gridCol w:w="1740"/>
        <w:gridCol w:w="40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spacing w:before="0" w:beforeAutospacing="0" w:after="0" w:afterAutospacing="0" w:line="360" w:lineRule="auto"/>
              <w:ind w:left="0" w:right="0" w:firstLine="482"/>
              <w:rPr>
                <w:rFonts w:hint="default" w:cs="Times New Roman" w:asciiTheme="minorEastAsia" w:hAnsiTheme="minorEastAsia"/>
                <w:b/>
                <w:sz w:val="24"/>
                <w:szCs w:val="24"/>
              </w:rPr>
            </w:pPr>
            <w:r>
              <w:rPr>
                <w:rFonts w:hint="eastAsia" w:cs="Times New Roman" w:asciiTheme="minorEastAsia" w:hAnsiTheme="minorEastAsia"/>
                <w:b/>
                <w:sz w:val="24"/>
                <w:szCs w:val="24"/>
              </w:rPr>
              <w:t>固定资产类别</w:t>
            </w:r>
          </w:p>
        </w:tc>
        <w:tc>
          <w:tcPr>
            <w:tcW w:w="1740" w:type="dxa"/>
            <w:vAlign w:val="center"/>
          </w:tcPr>
          <w:p>
            <w:pPr>
              <w:keepNext w:val="0"/>
              <w:keepLines w:val="0"/>
              <w:suppressLineNumbers w:val="0"/>
              <w:spacing w:before="0" w:beforeAutospacing="0" w:after="0" w:afterAutospacing="0" w:line="360" w:lineRule="auto"/>
              <w:ind w:left="0" w:right="0" w:firstLine="120" w:firstLineChars="50"/>
              <w:rPr>
                <w:rFonts w:hint="default" w:cs="Times New Roman" w:asciiTheme="minorEastAsia" w:hAnsiTheme="minorEastAsia"/>
                <w:b/>
                <w:sz w:val="24"/>
                <w:szCs w:val="24"/>
              </w:rPr>
            </w:pPr>
            <w:r>
              <w:rPr>
                <w:rFonts w:hint="eastAsia" w:cs="Times New Roman" w:asciiTheme="minorEastAsia" w:hAnsiTheme="minorEastAsia"/>
                <w:b/>
                <w:sz w:val="24"/>
                <w:szCs w:val="24"/>
              </w:rPr>
              <w:t>折旧年限</w:t>
            </w:r>
          </w:p>
        </w:tc>
        <w:tc>
          <w:tcPr>
            <w:tcW w:w="4034" w:type="dxa"/>
            <w:vAlign w:val="center"/>
          </w:tcPr>
          <w:p>
            <w:pPr>
              <w:keepNext w:val="0"/>
              <w:keepLines w:val="0"/>
              <w:suppressLineNumbers w:val="0"/>
              <w:spacing w:before="0" w:beforeAutospacing="0" w:after="0" w:afterAutospacing="0" w:line="360" w:lineRule="auto"/>
              <w:ind w:left="0" w:right="0" w:firstLine="482"/>
              <w:jc w:val="center"/>
              <w:rPr>
                <w:rFonts w:hint="default" w:cs="Times New Roman" w:asciiTheme="minorEastAsia" w:hAnsiTheme="minorEastAsia"/>
                <w:b/>
                <w:sz w:val="24"/>
                <w:szCs w:val="24"/>
              </w:rPr>
            </w:pPr>
            <w:r>
              <w:rPr>
                <w:rFonts w:hint="eastAsia" w:cs="Times New Roman" w:asciiTheme="minorEastAsia" w:hAnsiTheme="minorEastAsia"/>
                <w:b/>
                <w:sz w:val="24"/>
                <w:szCs w:val="24"/>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spacing w:before="0" w:beforeAutospacing="0" w:after="0" w:afterAutospacing="0" w:line="360" w:lineRule="auto"/>
              <w:ind w:left="0" w:right="0"/>
              <w:rPr>
                <w:rFonts w:hint="default" w:cs="Times New Roman" w:asciiTheme="minorEastAsia" w:hAnsiTheme="minorEastAsia"/>
                <w:b/>
                <w:sz w:val="24"/>
                <w:szCs w:val="24"/>
              </w:rPr>
            </w:pPr>
            <w:r>
              <w:rPr>
                <w:rFonts w:hint="eastAsia" w:cs="Times New Roman" w:asciiTheme="minorEastAsia" w:hAnsiTheme="minorEastAsia"/>
                <w:b/>
                <w:sz w:val="24"/>
                <w:szCs w:val="24"/>
              </w:rPr>
              <w:t>一、房屋及构筑物</w:t>
            </w:r>
          </w:p>
        </w:tc>
        <w:tc>
          <w:tcPr>
            <w:tcW w:w="1740" w:type="dxa"/>
          </w:tcPr>
          <w:p>
            <w:pPr>
              <w:keepNext w:val="0"/>
              <w:keepLines w:val="0"/>
              <w:suppressLineNumbers w:val="0"/>
              <w:spacing w:before="0" w:beforeAutospacing="0" w:after="0" w:afterAutospacing="0" w:line="360" w:lineRule="auto"/>
              <w:ind w:left="0" w:right="0"/>
              <w:jc w:val="center"/>
              <w:rPr>
                <w:rFonts w:hint="default" w:cs="Times New Roman" w:asciiTheme="minorEastAsia" w:hAnsiTheme="minorEastAsia"/>
                <w:sz w:val="24"/>
                <w:szCs w:val="24"/>
              </w:rPr>
            </w:pPr>
          </w:p>
        </w:tc>
        <w:tc>
          <w:tcPr>
            <w:tcW w:w="4034" w:type="dxa"/>
          </w:tcPr>
          <w:p>
            <w:pPr>
              <w:keepNext w:val="0"/>
              <w:keepLines w:val="0"/>
              <w:suppressLineNumbers w:val="0"/>
              <w:spacing w:before="0" w:beforeAutospacing="0" w:after="0" w:afterAutospacing="0" w:line="360" w:lineRule="auto"/>
              <w:ind w:left="0" w:right="0"/>
              <w:rPr>
                <w:rFonts w:hint="default" w:cs="Times New Roman" w:asciiTheme="minorEastAsia" w:hAnsiTheme="minorEastAsia"/>
                <w:sz w:val="24"/>
                <w:szCs w:val="24"/>
              </w:rPr>
            </w:pPr>
            <w:r>
              <w:rPr>
                <w:rFonts w:hint="eastAsia" w:cs="Times New Roman" w:asciiTheme="minorEastAsia" w:hAnsiTheme="minorEastAsia"/>
                <w:sz w:val="24"/>
                <w:szCs w:val="24"/>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1.房屋</w:t>
            </w:r>
          </w:p>
        </w:tc>
        <w:tc>
          <w:tcPr>
            <w:tcW w:w="1740" w:type="dxa"/>
            <w:vAlign w:val="center"/>
          </w:tcPr>
          <w:p>
            <w:pPr>
              <w:keepNext w:val="0"/>
              <w:keepLines w:val="0"/>
              <w:suppressLineNumbers w:val="0"/>
              <w:spacing w:before="0" w:beforeAutospacing="0" w:after="0" w:afterAutospacing="0" w:line="360" w:lineRule="auto"/>
              <w:ind w:left="0" w:right="0"/>
              <w:jc w:val="center"/>
              <w:rPr>
                <w:rFonts w:hint="default" w:cs="Times New Roman" w:asciiTheme="minorEastAsia" w:hAnsiTheme="minorEastAsia"/>
                <w:sz w:val="24"/>
                <w:szCs w:val="24"/>
              </w:rPr>
            </w:pPr>
          </w:p>
        </w:tc>
        <w:tc>
          <w:tcPr>
            <w:tcW w:w="4034" w:type="dxa"/>
            <w:vAlign w:val="center"/>
          </w:tcPr>
          <w:p>
            <w:pPr>
              <w:keepNext w:val="0"/>
              <w:keepLines w:val="0"/>
              <w:suppressLineNumbers w:val="0"/>
              <w:spacing w:before="0" w:beforeAutospacing="0" w:after="0" w:afterAutospacing="0" w:line="360" w:lineRule="auto"/>
              <w:ind w:left="0" w:right="0"/>
              <w:rPr>
                <w:rFonts w:hint="default" w:cs="Times New Roman" w:asciiTheme="minorEastAsia" w:hAnsiTheme="minorEastAsia"/>
                <w:sz w:val="24"/>
                <w:szCs w:val="24"/>
              </w:rPr>
            </w:pPr>
            <w:r>
              <w:rPr>
                <w:rFonts w:hint="eastAsia" w:cs="Times New Roman" w:asciiTheme="minorEastAsia" w:hAnsiTheme="minorEastAsia"/>
                <w:sz w:val="24"/>
                <w:szCs w:val="24"/>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firstLine="240" w:firstLineChars="100"/>
              <w:rPr>
                <w:rFonts w:hint="default" w:cs="Times New Roman" w:asciiTheme="minorEastAsia" w:hAnsiTheme="minorEastAsia"/>
                <w:bCs/>
                <w:sz w:val="24"/>
                <w:szCs w:val="24"/>
              </w:rPr>
            </w:pPr>
            <w:r>
              <w:rPr>
                <w:rFonts w:hint="eastAsia" w:cs="Times New Roman" w:asciiTheme="minorEastAsia" w:hAnsiTheme="minorEastAsia"/>
                <w:bCs/>
                <w:sz w:val="24"/>
                <w:szCs w:val="24"/>
              </w:rPr>
              <w:t>钢结构</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50年</w:t>
            </w:r>
          </w:p>
        </w:tc>
        <w:tc>
          <w:tcPr>
            <w:tcW w:w="4034" w:type="dxa"/>
            <w:vAlign w:val="center"/>
          </w:tcPr>
          <w:p>
            <w:pPr>
              <w:keepNext w:val="0"/>
              <w:keepLines w:val="0"/>
              <w:suppressLineNumbers w:val="0"/>
              <w:spacing w:before="0" w:beforeAutospacing="0" w:after="0" w:afterAutospacing="0" w:line="360" w:lineRule="auto"/>
              <w:ind w:left="0" w:right="0"/>
              <w:jc w:val="center"/>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firstLine="240" w:firstLineChars="100"/>
              <w:rPr>
                <w:rFonts w:hint="default" w:cs="Times New Roman" w:asciiTheme="minorEastAsia" w:hAnsiTheme="minorEastAsia"/>
                <w:bCs/>
                <w:sz w:val="24"/>
                <w:szCs w:val="24"/>
              </w:rPr>
            </w:pPr>
            <w:r>
              <w:rPr>
                <w:rFonts w:hint="eastAsia" w:cs="Times New Roman" w:asciiTheme="minorEastAsia" w:hAnsiTheme="minorEastAsia"/>
                <w:bCs/>
                <w:sz w:val="24"/>
                <w:szCs w:val="24"/>
              </w:rPr>
              <w:t>钢筋混凝土结构</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50年</w:t>
            </w:r>
          </w:p>
        </w:tc>
        <w:tc>
          <w:tcPr>
            <w:tcW w:w="4034" w:type="dxa"/>
            <w:vAlign w:val="center"/>
          </w:tcPr>
          <w:p>
            <w:pPr>
              <w:keepNext w:val="0"/>
              <w:keepLines w:val="0"/>
              <w:suppressLineNumbers w:val="0"/>
              <w:spacing w:before="0" w:beforeAutospacing="0" w:after="0" w:afterAutospacing="0" w:line="360" w:lineRule="auto"/>
              <w:ind w:left="0" w:right="0"/>
              <w:jc w:val="center"/>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firstLine="240" w:firstLineChars="100"/>
              <w:rPr>
                <w:rFonts w:hint="default" w:cs="Times New Roman" w:asciiTheme="minorEastAsia" w:hAnsiTheme="minorEastAsia"/>
                <w:bCs/>
                <w:sz w:val="24"/>
                <w:szCs w:val="24"/>
              </w:rPr>
            </w:pPr>
            <w:r>
              <w:rPr>
                <w:rFonts w:hint="eastAsia" w:cs="Times New Roman" w:asciiTheme="minorEastAsia" w:hAnsiTheme="minorEastAsia"/>
                <w:bCs/>
                <w:sz w:val="24"/>
                <w:szCs w:val="24"/>
              </w:rPr>
              <w:t>砖混结构</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30年</w:t>
            </w:r>
          </w:p>
        </w:tc>
        <w:tc>
          <w:tcPr>
            <w:tcW w:w="4034" w:type="dxa"/>
            <w:vAlign w:val="center"/>
          </w:tcPr>
          <w:p>
            <w:pPr>
              <w:keepNext w:val="0"/>
              <w:keepLines w:val="0"/>
              <w:suppressLineNumbers w:val="0"/>
              <w:spacing w:before="0" w:beforeAutospacing="0" w:after="0" w:afterAutospacing="0" w:line="360" w:lineRule="auto"/>
              <w:ind w:left="0" w:right="0"/>
              <w:jc w:val="center"/>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firstLine="240" w:firstLineChars="100"/>
              <w:rPr>
                <w:rFonts w:hint="default" w:cs="Times New Roman" w:asciiTheme="minorEastAsia" w:hAnsiTheme="minorEastAsia"/>
                <w:bCs/>
                <w:sz w:val="24"/>
                <w:szCs w:val="24"/>
              </w:rPr>
            </w:pPr>
            <w:r>
              <w:rPr>
                <w:rFonts w:hint="eastAsia" w:cs="Times New Roman" w:asciiTheme="minorEastAsia" w:hAnsiTheme="minorEastAsia"/>
                <w:bCs/>
                <w:sz w:val="24"/>
                <w:szCs w:val="24"/>
              </w:rPr>
              <w:t>砖木结构</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30年</w:t>
            </w:r>
          </w:p>
        </w:tc>
        <w:tc>
          <w:tcPr>
            <w:tcW w:w="4034" w:type="dxa"/>
            <w:vAlign w:val="center"/>
          </w:tcPr>
          <w:p>
            <w:pPr>
              <w:keepNext w:val="0"/>
              <w:keepLines w:val="0"/>
              <w:suppressLineNumbers w:val="0"/>
              <w:spacing w:before="0" w:beforeAutospacing="0" w:after="0" w:afterAutospacing="0" w:line="360" w:lineRule="auto"/>
              <w:ind w:left="0" w:right="0"/>
              <w:jc w:val="center"/>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2.简易房</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8年</w:t>
            </w:r>
          </w:p>
        </w:tc>
        <w:tc>
          <w:tcPr>
            <w:tcW w:w="4034" w:type="dxa"/>
            <w:vAlign w:val="center"/>
          </w:tcPr>
          <w:p>
            <w:pPr>
              <w:keepNext w:val="0"/>
              <w:keepLines w:val="0"/>
              <w:suppressLineNumbers w:val="0"/>
              <w:spacing w:before="0" w:beforeAutospacing="0" w:after="0" w:afterAutospacing="0" w:line="360" w:lineRule="auto"/>
              <w:ind w:left="0" w:right="0"/>
              <w:jc w:val="center"/>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3.房屋附属设施</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8年</w:t>
            </w:r>
          </w:p>
        </w:tc>
        <w:tc>
          <w:tcPr>
            <w:tcW w:w="4034"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围墙、停车设施等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4.构筑物</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8年</w:t>
            </w:r>
          </w:p>
        </w:tc>
        <w:tc>
          <w:tcPr>
            <w:tcW w:w="4034"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池、罐、槽、塔等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
                <w:sz w:val="24"/>
                <w:szCs w:val="24"/>
              </w:rPr>
              <w:t>二、通用设备</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1.计算机设备</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6年</w:t>
            </w:r>
          </w:p>
        </w:tc>
        <w:tc>
          <w:tcPr>
            <w:tcW w:w="4034"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计算机、网络设备、安全设备、终端设备、存储设备等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2.办公设备</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6年</w:t>
            </w:r>
          </w:p>
        </w:tc>
        <w:tc>
          <w:tcPr>
            <w:tcW w:w="4034" w:type="dxa"/>
          </w:tcPr>
          <w:p>
            <w:pPr>
              <w:keepNext w:val="0"/>
              <w:keepLines w:val="0"/>
              <w:suppressLineNumbers w:val="0"/>
              <w:spacing w:before="0" w:beforeAutospacing="0" w:after="0" w:afterAutospacing="0" w:line="360" w:lineRule="auto"/>
              <w:ind w:left="0" w:right="0"/>
              <w:rPr>
                <w:rFonts w:hint="default" w:cs="Times New Roman" w:asciiTheme="minorEastAsia" w:hAnsiTheme="minorEastAsia"/>
                <w:sz w:val="24"/>
                <w:szCs w:val="24"/>
              </w:rPr>
            </w:pPr>
            <w:r>
              <w:rPr>
                <w:rFonts w:hint="eastAsia" w:cs="Times New Roman" w:asciiTheme="minorEastAsia" w:hAnsiTheme="minorEastAsia"/>
                <w:sz w:val="24"/>
                <w:szCs w:val="24"/>
              </w:rPr>
              <w:t>电话机、传真机、复印机、投影仪、多功能一体机、录音设备、电子白板、LED显示屏、触控一体机等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3.车辆</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8年</w:t>
            </w:r>
          </w:p>
        </w:tc>
        <w:tc>
          <w:tcPr>
            <w:tcW w:w="4034" w:type="dxa"/>
            <w:vAlign w:val="center"/>
          </w:tcPr>
          <w:p>
            <w:pPr>
              <w:keepNext w:val="0"/>
              <w:keepLines w:val="0"/>
              <w:suppressLineNumbers w:val="0"/>
              <w:spacing w:before="0" w:beforeAutospacing="0" w:after="0" w:afterAutospacing="0" w:line="360" w:lineRule="auto"/>
              <w:ind w:left="0" w:right="0"/>
              <w:rPr>
                <w:rFonts w:hint="default" w:cs="Times New Roman" w:asciiTheme="minorEastAsia" w:hAnsiTheme="minorEastAsia"/>
                <w:sz w:val="24"/>
                <w:szCs w:val="24"/>
              </w:rPr>
            </w:pPr>
            <w:r>
              <w:rPr>
                <w:rFonts w:hint="eastAsia" w:cs="Times New Roman" w:asciiTheme="minorEastAsia" w:hAnsiTheme="minorEastAsia"/>
                <w:sz w:val="24"/>
                <w:szCs w:val="24"/>
              </w:rPr>
              <w:t>校车、乘用车、载货汽车、专用车辆等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4.图书档案设备</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5.机械设备</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10年</w:t>
            </w:r>
          </w:p>
        </w:tc>
        <w:tc>
          <w:tcPr>
            <w:tcW w:w="4034" w:type="dxa"/>
            <w:vAlign w:val="center"/>
          </w:tcPr>
          <w:p>
            <w:pPr>
              <w:keepNext w:val="0"/>
              <w:keepLines w:val="0"/>
              <w:suppressLineNumbers w:val="0"/>
              <w:spacing w:before="0" w:beforeAutospacing="0" w:after="0" w:afterAutospacing="0" w:line="360" w:lineRule="auto"/>
              <w:ind w:left="0" w:right="0"/>
              <w:rPr>
                <w:rFonts w:hint="default" w:cs="Times New Roman" w:asciiTheme="minorEastAsia" w:hAnsiTheme="minorEastAsia"/>
                <w:sz w:val="24"/>
                <w:szCs w:val="24"/>
              </w:rPr>
            </w:pPr>
            <w:r>
              <w:rPr>
                <w:rFonts w:hint="eastAsia" w:cs="Times New Roman" w:asciiTheme="minorEastAsia" w:hAnsiTheme="minorEastAsia"/>
                <w:sz w:val="24"/>
                <w:szCs w:val="24"/>
              </w:rPr>
              <w:t>电梯、制冷空调、锅炉等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6.电气设备</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电机、变压器、电源设备、生活用电器等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7.通信设备</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8.广播、电视、电影设备</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9.仪器仪表</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10.电子和通信测量设备、</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Align w:val="center"/>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11.计量标准器具及量具、衡器</w:t>
            </w:r>
          </w:p>
        </w:tc>
        <w:tc>
          <w:tcPr>
            <w:tcW w:w="1740" w:type="dxa"/>
            <w:vAlign w:val="center"/>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spacing w:before="0" w:beforeAutospacing="0" w:after="0" w:afterAutospacing="0" w:line="360" w:lineRule="auto"/>
              <w:ind w:left="0" w:right="0"/>
              <w:rPr>
                <w:rFonts w:hint="default" w:cs="Times New Roman" w:asciiTheme="minorEastAsia" w:hAnsiTheme="minorEastAsia"/>
                <w:b/>
                <w:sz w:val="24"/>
                <w:szCs w:val="24"/>
              </w:rPr>
            </w:pPr>
            <w:r>
              <w:rPr>
                <w:rFonts w:hint="eastAsia" w:cs="Times New Roman" w:asciiTheme="minorEastAsia" w:hAnsiTheme="minorEastAsia"/>
                <w:b/>
                <w:sz w:val="24"/>
                <w:szCs w:val="24"/>
              </w:rPr>
              <w:t>三、专用设备</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1.专用仪器仪表</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教学专用仪器等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2.文艺设备</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乐器、舞台设备、影剧院设备等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3.体育设备</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田赛设备、径赛设备、球类设备、体育运动辅助设备等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4.娱乐设备</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5.公安专用设备</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3年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6.其他专用设备</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10年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spacing w:before="0" w:beforeAutospacing="0" w:after="0" w:afterAutospacing="0" w:line="360" w:lineRule="auto"/>
              <w:ind w:left="0" w:right="0"/>
              <w:rPr>
                <w:rFonts w:hint="default" w:cs="Times New Roman" w:asciiTheme="minorEastAsia" w:hAnsiTheme="minorEastAsia"/>
                <w:b/>
                <w:sz w:val="24"/>
                <w:szCs w:val="24"/>
              </w:rPr>
            </w:pPr>
            <w:r>
              <w:rPr>
                <w:rFonts w:hint="eastAsia" w:cs="Times New Roman" w:asciiTheme="minorEastAsia" w:hAnsiTheme="minorEastAsia"/>
                <w:b/>
                <w:sz w:val="24"/>
                <w:szCs w:val="24"/>
              </w:rPr>
              <w:t>四、家具、用具及装具</w:t>
            </w:r>
          </w:p>
        </w:tc>
        <w:tc>
          <w:tcPr>
            <w:tcW w:w="1740" w:type="dxa"/>
          </w:tcPr>
          <w:p>
            <w:pPr>
              <w:keepNext w:val="0"/>
              <w:keepLines w:val="0"/>
              <w:suppressLineNumbers w:val="0"/>
              <w:spacing w:before="0" w:beforeAutospacing="0" w:after="0" w:afterAutospacing="0" w:line="360" w:lineRule="auto"/>
              <w:ind w:left="0" w:right="0" w:firstLine="420" w:firstLineChars="175"/>
              <w:jc w:val="left"/>
              <w:rPr>
                <w:rFonts w:hint="default" w:cs="Times New Roman" w:asciiTheme="minorEastAsia" w:hAnsiTheme="minorEastAsia"/>
                <w:sz w:val="24"/>
                <w:szCs w:val="24"/>
              </w:rPr>
            </w:pP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2" w:type="dxa"/>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1.家具</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15年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tabs>
                <w:tab w:val="left" w:pos="630"/>
                <w:tab w:val="left" w:pos="840"/>
              </w:tabs>
              <w:spacing w:before="0" w:beforeAutospacing="0" w:after="0" w:afterAutospacing="0" w:line="360" w:lineRule="auto"/>
              <w:ind w:left="0" w:right="0" w:firstLine="120" w:firstLineChars="50"/>
              <w:rPr>
                <w:rFonts w:hint="default" w:cs="Times New Roman" w:asciiTheme="minorEastAsia" w:hAnsiTheme="minorEastAsia"/>
                <w:bCs/>
                <w:sz w:val="24"/>
                <w:szCs w:val="24"/>
              </w:rPr>
            </w:pPr>
            <w:r>
              <w:rPr>
                <w:rFonts w:hint="eastAsia" w:cs="Times New Roman" w:asciiTheme="minorEastAsia" w:hAnsiTheme="minorEastAsia"/>
                <w:bCs/>
                <w:sz w:val="24"/>
                <w:szCs w:val="24"/>
              </w:rPr>
              <w:t>其中：学生用家具（教学用）</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tcPr>
          <w:p>
            <w:pPr>
              <w:keepNext w:val="0"/>
              <w:keepLines w:val="0"/>
              <w:suppressLineNumbers w:val="0"/>
              <w:tabs>
                <w:tab w:val="left" w:pos="630"/>
                <w:tab w:val="left" w:pos="840"/>
              </w:tabs>
              <w:spacing w:before="0" w:beforeAutospacing="0" w:after="0" w:afterAutospacing="0" w:line="360" w:lineRule="auto"/>
              <w:ind w:left="0" w:right="0"/>
              <w:rPr>
                <w:rFonts w:hint="default" w:cs="Times New Roman" w:asciiTheme="minorEastAsia" w:hAnsiTheme="minorEastAsia"/>
                <w:bCs/>
                <w:sz w:val="24"/>
                <w:szCs w:val="24"/>
              </w:rPr>
            </w:pPr>
            <w:r>
              <w:rPr>
                <w:rFonts w:hint="eastAsia" w:cs="Times New Roman" w:asciiTheme="minorEastAsia" w:hAnsiTheme="minorEastAsia"/>
                <w:bCs/>
                <w:sz w:val="24"/>
                <w:szCs w:val="24"/>
              </w:rPr>
              <w:t>2.用具和装具</w:t>
            </w:r>
          </w:p>
        </w:tc>
        <w:tc>
          <w:tcPr>
            <w:tcW w:w="1740"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r>
              <w:rPr>
                <w:rFonts w:hint="eastAsia" w:cs="Times New Roman" w:asciiTheme="minorEastAsia" w:hAnsiTheme="minorEastAsia"/>
                <w:sz w:val="24"/>
                <w:szCs w:val="24"/>
              </w:rPr>
              <w:t>5年</w:t>
            </w:r>
          </w:p>
        </w:tc>
        <w:tc>
          <w:tcPr>
            <w:tcW w:w="4034" w:type="dxa"/>
          </w:tcPr>
          <w:p>
            <w:pPr>
              <w:keepNext w:val="0"/>
              <w:keepLines w:val="0"/>
              <w:suppressLineNumbers w:val="0"/>
              <w:spacing w:before="0" w:beforeAutospacing="0" w:after="0" w:afterAutospacing="0" w:line="360" w:lineRule="auto"/>
              <w:ind w:left="0" w:right="0"/>
              <w:jc w:val="left"/>
              <w:rPr>
                <w:rFonts w:hint="default" w:cs="Times New Roman" w:asciiTheme="minorEastAsia" w:hAnsiTheme="minorEastAsia"/>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OGM4ZGM1ZDFmYzY2ZjM4ZThhNGQ3ZjZiZmU4MDQifQ=="/>
  </w:docVars>
  <w:rsids>
    <w:rsidRoot w:val="0ED810EE"/>
    <w:rsid w:val="0ED810EE"/>
    <w:rsid w:val="2F5619FA"/>
    <w:rsid w:val="56E9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120" w:after="120" w:line="360" w:lineRule="auto"/>
      <w:ind w:firstLine="480" w:firstLineChars="200"/>
      <w:jc w:val="center"/>
      <w:outlineLvl w:val="3"/>
    </w:pPr>
    <w:rPr>
      <w:rFonts w:ascii="Cambria" w:hAnsi="Cambria" w:eastAsia="仿宋_GB2312"/>
      <w:b/>
      <w:bCs/>
      <w:sz w:val="24"/>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9266</Words>
  <Characters>9313</Characters>
  <Lines>0</Lines>
  <Paragraphs>0</Paragraphs>
  <TotalTime>0</TotalTime>
  <ScaleCrop>false</ScaleCrop>
  <LinksUpToDate>false</LinksUpToDate>
  <CharactersWithSpaces>9454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2022-05-06T03:34:00Z</dcterms:created>
  <dc:creator>szedu</dc:creator>
  <cp:lastModifiedBy>哆啦A梦的口袋</cp:lastModifiedBy>
  <dcterms:modified xsi:type="dcterms:W3CDTF">2022-09-29T08:55:41Z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0335122330264DEDBD9E25CA90630C79</vt:lpwstr>
  </property>
</Properties>
</file>