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 xml:space="preserve">附件2    </w:t>
      </w:r>
    </w:p>
    <w:p>
      <w:pPr>
        <w:spacing w:line="58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技术需求</w:t>
      </w:r>
    </w:p>
    <w:p>
      <w:pPr>
        <w:spacing w:beforeLines="50" w:line="580" w:lineRule="exact"/>
        <w:ind w:firstLine="562" w:firstLineChars="200"/>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说明：</w:t>
      </w:r>
    </w:p>
    <w:p>
      <w:pPr>
        <w:spacing w:line="580" w:lineRule="exact"/>
        <w:ind w:firstLine="562" w:firstLineChars="200"/>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1.应标单位报价函需分项目报价，每一项设备及系统均包含名称、型号、单价及总价等信息，所报价格超过预算控制金额作无效投标处理。</w:t>
      </w:r>
    </w:p>
    <w:p>
      <w:pPr>
        <w:spacing w:beforeLines="50" w:line="580" w:lineRule="exact"/>
        <w:ind w:firstLine="562" w:firstLineChars="200"/>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2.公司产品必须是全新且保证质量，所提供的各种技术文档资料和说明文件必须客观、正确、齐全。</w:t>
      </w:r>
    </w:p>
    <w:p>
      <w:pPr>
        <w:pStyle w:val="2"/>
        <w:spacing w:line="580" w:lineRule="exact"/>
        <w:ind w:firstLine="562" w:firstLineChars="200"/>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3.带“★”指标项为关键参数，如出现负偏离，将被视为未实质性满足招标文件要求作投标无效处理。</w:t>
      </w:r>
    </w:p>
    <w:p>
      <w:pPr>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一、设备需求清单</w:t>
      </w:r>
    </w:p>
    <w:tbl>
      <w:tblPr>
        <w:tblStyle w:val="7"/>
        <w:tblW w:w="9160" w:type="dxa"/>
        <w:tblInd w:w="0" w:type="dxa"/>
        <w:tblLayout w:type="autofit"/>
        <w:tblCellMar>
          <w:top w:w="0" w:type="dxa"/>
          <w:left w:w="108" w:type="dxa"/>
          <w:bottom w:w="0" w:type="dxa"/>
          <w:right w:w="108" w:type="dxa"/>
        </w:tblCellMar>
      </w:tblPr>
      <w:tblGrid>
        <w:gridCol w:w="675"/>
        <w:gridCol w:w="1134"/>
        <w:gridCol w:w="5529"/>
        <w:gridCol w:w="682"/>
        <w:gridCol w:w="735"/>
        <w:gridCol w:w="405"/>
      </w:tblGrid>
      <w:tr>
        <w:tblPrEx>
          <w:tblCellMar>
            <w:top w:w="0" w:type="dxa"/>
            <w:left w:w="108" w:type="dxa"/>
            <w:bottom w:w="0" w:type="dxa"/>
            <w:right w:w="108" w:type="dxa"/>
          </w:tblCellMar>
        </w:tblPrEx>
        <w:trPr>
          <w:gridAfter w:val="1"/>
          <w:wAfter w:w="405" w:type="dxa"/>
          <w:trHeight w:val="438"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设备名称</w:t>
            </w:r>
          </w:p>
        </w:tc>
        <w:tc>
          <w:tcPr>
            <w:tcW w:w="55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技术参数</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单位</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数量</w:t>
            </w:r>
          </w:p>
        </w:tc>
      </w:tr>
      <w:tr>
        <w:tblPrEx>
          <w:tblCellMar>
            <w:top w:w="0" w:type="dxa"/>
            <w:left w:w="108" w:type="dxa"/>
            <w:bottom w:w="0" w:type="dxa"/>
            <w:right w:w="108" w:type="dxa"/>
          </w:tblCellMar>
        </w:tblPrEx>
        <w:trPr>
          <w:gridAfter w:val="1"/>
          <w:wAfter w:w="405" w:type="dxa"/>
          <w:trHeight w:val="93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pStyle w:val="13"/>
              <w:spacing w:line="240" w:lineRule="auto"/>
              <w:ind w:right="180"/>
              <w:rPr>
                <w:rFonts w:hint="eastAsia" w:ascii="仿宋_GB2312" w:hAnsi="仿宋_GB2312" w:eastAsia="仿宋_GB2312" w:cs="仿宋_GB2312"/>
                <w:szCs w:val="21"/>
                <w:lang w:val="en-US" w:bidi="ar-SA"/>
              </w:rPr>
            </w:pPr>
            <w:r>
              <w:rPr>
                <w:rFonts w:hint="eastAsia" w:ascii="仿宋_GB2312" w:hAnsi="仿宋_GB2312" w:eastAsia="仿宋_GB2312" w:cs="仿宋_GB2312"/>
                <w:szCs w:val="21"/>
                <w:lang w:val="en-US" w:bidi="ar-SA"/>
              </w:rPr>
              <w:t>手持金属探测器</w:t>
            </w:r>
          </w:p>
        </w:tc>
        <w:tc>
          <w:tcPr>
            <w:tcW w:w="5529" w:type="dxa"/>
            <w:tcBorders>
              <w:top w:val="nil"/>
              <w:left w:val="nil"/>
              <w:bottom w:val="single" w:color="auto" w:sz="4" w:space="0"/>
              <w:right w:val="single" w:color="auto" w:sz="4" w:space="0"/>
            </w:tcBorders>
            <w:shd w:val="clear" w:color="auto" w:fill="auto"/>
            <w:vAlign w:val="center"/>
          </w:tcPr>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★1.符合GB12899-2018手持式金属探测器通用技术规范，探测距离满足A级标准。</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★2.报警声音符合GB1</w:t>
            </w:r>
            <w:bookmarkStart w:id="0" w:name="_GoBack"/>
            <w:bookmarkEnd w:id="0"/>
            <w:r>
              <w:rPr>
                <w:rFonts w:hint="eastAsia" w:ascii="仿宋_GB2312" w:hAnsi="仿宋_GB2312" w:eastAsia="仿宋_GB2312" w:cs="仿宋_GB2312"/>
                <w:szCs w:val="21"/>
              </w:rPr>
              <w:t>2899-2018手持式金属探测距离0.8M处最大声音大于等于85.6dB。</w:t>
            </w:r>
          </w:p>
          <w:p>
            <w:pPr>
              <w:wordWrap w:val="0"/>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3.辐射磁感应强度符合GB12899-2018手持式金属探测器通用技术规范，小于等于9</w:t>
            </w:r>
            <w:r>
              <w:rPr>
                <w:rFonts w:hint="eastAsia" w:ascii="仿宋_GB2312" w:hAnsi="仿宋_GB2312" w:eastAsia="仿宋_GB2312" w:cs="仿宋_GB2312"/>
                <w:color w:val="333333"/>
                <w:kern w:val="0"/>
                <w:szCs w:val="21"/>
              </w:rPr>
              <w:t>μT。</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4.灵敏度调节:手探应能通过按键在8档灵敏度之间进行切换，应有指示灯提示，灵敏度越高，指示灯亮的越多。</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5.金属量提示功能检查:探测到金属时，设备应能通过指示灯提示金属量的大小，金属量越大，指示灯亮的越多。</w:t>
            </w:r>
          </w:p>
          <w:p>
            <w:pPr>
              <w:pStyle w:val="2"/>
              <w:spacing w:line="240" w:lineRule="auto"/>
              <w:jc w:val="both"/>
              <w:rPr>
                <w:rFonts w:hint="eastAsia" w:ascii="仿宋_GB2312" w:hAnsi="仿宋_GB2312" w:eastAsia="仿宋_GB2312" w:cs="仿宋_GB2312"/>
                <w:color w:val="FF0000"/>
                <w:szCs w:val="21"/>
                <w:lang w:eastAsia="zh-CN"/>
              </w:rPr>
            </w:pPr>
            <w:r>
              <w:rPr>
                <w:rFonts w:hint="eastAsia" w:ascii="仿宋_GB2312" w:hAnsi="仿宋_GB2312" w:eastAsia="仿宋_GB2312" w:cs="仿宋_GB2312"/>
                <w:szCs w:val="21"/>
              </w:rPr>
              <w:t>6.探测器整机总量：整机（含电池）小于等于268g</w:t>
            </w:r>
            <w:r>
              <w:rPr>
                <w:rFonts w:hint="eastAsia" w:ascii="仿宋_GB2312" w:hAnsi="仿宋_GB2312" w:eastAsia="仿宋_GB2312" w:cs="仿宋_GB2312"/>
                <w:szCs w:val="21"/>
                <w:lang w:eastAsia="zh-CN"/>
              </w:rPr>
              <w:t>。</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把</w:t>
            </w:r>
          </w:p>
        </w:tc>
        <w:tc>
          <w:tcPr>
            <w:tcW w:w="735" w:type="dxa"/>
            <w:tcBorders>
              <w:top w:val="nil"/>
              <w:left w:val="nil"/>
              <w:bottom w:val="single" w:color="auto" w:sz="4" w:space="0"/>
              <w:right w:val="single" w:color="auto" w:sz="4" w:space="0"/>
            </w:tcBorders>
            <w:shd w:val="clear" w:color="auto" w:fill="auto"/>
            <w:vAlign w:val="center"/>
          </w:tcPr>
          <w:p>
            <w:pPr>
              <w:pStyle w:val="13"/>
              <w:spacing w:before="1"/>
              <w:ind w:firstLine="210" w:firstLineChars="100"/>
              <w:jc w:val="center"/>
              <w:rPr>
                <w:rFonts w:hint="eastAsia" w:ascii="仿宋_GB2312" w:hAnsi="仿宋_GB2312" w:eastAsia="仿宋_GB2312" w:cs="仿宋_GB2312"/>
                <w:color w:val="000000"/>
                <w:kern w:val="0"/>
                <w:szCs w:val="21"/>
                <w:lang w:val="en-US" w:bidi="ar-SA"/>
              </w:rPr>
            </w:pPr>
            <w:r>
              <w:rPr>
                <w:rFonts w:hint="eastAsia" w:ascii="仿宋_GB2312" w:hAnsi="仿宋_GB2312" w:eastAsia="仿宋_GB2312" w:cs="仿宋_GB2312"/>
                <w:color w:val="000000"/>
                <w:kern w:val="0"/>
                <w:szCs w:val="21"/>
                <w:lang w:val="en-US" w:bidi="ar-SA"/>
              </w:rPr>
              <w:t>2</w:t>
            </w:r>
          </w:p>
        </w:tc>
      </w:tr>
      <w:tr>
        <w:tblPrEx>
          <w:tblCellMar>
            <w:top w:w="0" w:type="dxa"/>
            <w:left w:w="108" w:type="dxa"/>
            <w:bottom w:w="0" w:type="dxa"/>
            <w:right w:w="108" w:type="dxa"/>
          </w:tblCellMar>
        </w:tblPrEx>
        <w:trPr>
          <w:gridAfter w:val="1"/>
          <w:wAfter w:w="405" w:type="dxa"/>
          <w:trHeight w:val="438"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34" w:type="dxa"/>
            <w:tcBorders>
              <w:top w:val="nil"/>
              <w:left w:val="nil"/>
              <w:bottom w:val="single" w:color="auto" w:sz="4" w:space="0"/>
              <w:right w:val="single" w:color="auto" w:sz="4" w:space="0"/>
            </w:tcBorders>
            <w:shd w:val="clear" w:color="auto" w:fill="auto"/>
            <w:vAlign w:val="center"/>
          </w:tcPr>
          <w:p>
            <w:pPr>
              <w:pStyle w:val="13"/>
              <w:spacing w:before="1" w:line="240" w:lineRule="auto"/>
              <w:ind w:right="180"/>
              <w:rPr>
                <w:rFonts w:hint="eastAsia" w:ascii="仿宋_GB2312" w:hAnsi="仿宋_GB2312" w:eastAsia="仿宋_GB2312" w:cs="仿宋_GB2312"/>
                <w:color w:val="000000"/>
                <w:kern w:val="0"/>
                <w:szCs w:val="21"/>
                <w:lang w:val="en-US" w:bidi="ar-SA"/>
              </w:rPr>
            </w:pPr>
            <w:r>
              <w:rPr>
                <w:rFonts w:hint="eastAsia" w:ascii="仿宋_GB2312" w:hAnsi="仿宋_GB2312" w:eastAsia="仿宋_GB2312" w:cs="仿宋_GB2312"/>
                <w:color w:val="000000"/>
                <w:kern w:val="0"/>
                <w:szCs w:val="21"/>
                <w:lang w:val="en-US" w:bidi="ar-SA"/>
              </w:rPr>
              <w:t>金属探测安检门</w:t>
            </w:r>
          </w:p>
        </w:tc>
        <w:tc>
          <w:tcPr>
            <w:tcW w:w="5529" w:type="dxa"/>
            <w:tcBorders>
              <w:top w:val="nil"/>
              <w:left w:val="nil"/>
              <w:bottom w:val="single" w:color="auto" w:sz="4" w:space="0"/>
              <w:right w:val="single" w:color="auto" w:sz="4" w:space="0"/>
            </w:tcBorders>
            <w:shd w:val="clear" w:color="auto" w:fill="auto"/>
            <w:vAlign w:val="center"/>
          </w:tcPr>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1.准确定位：十八个相互重叠的网状探测区域划分,双发双收,能精确定位被探测物,直观显示目标物的位置。</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2.灵敏度可调：从上至下连续6个探测区位，每个探测区位有256个灵敏度级别（0-255），可根据探测要求把区位调节到适当的灵敏度。</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3.音量、报警时长可调：可调节无声、1~3秒低音量或1~3秒高音量，报警声强：≥93.8db。</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4.金属含量图形显示功能：当安检门探测到违禁金属时，应能通过标识大小显示金属含量的大小。（需在检测报告中体现）。</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kern w:val="0"/>
                <w:szCs w:val="21"/>
                <w:lang w:bidi="en-US"/>
              </w:rPr>
              <w:t>★</w:t>
            </w:r>
            <w:r>
              <w:rPr>
                <w:rFonts w:hint="eastAsia" w:ascii="仿宋_GB2312" w:hAnsi="仿宋_GB2312" w:eastAsia="仿宋_GB2312" w:cs="仿宋_GB2312"/>
                <w:szCs w:val="21"/>
              </w:rPr>
              <w:t>5.最大功率：工作时整机最大功率≤6.2W（需在检测报告中体现）。</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6.安全标准：符合当前所采用的国际安全标准，采用弱磁场发射技术，对心脏起搏器佩戴者、孕妇、录像带等无害。</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7.通道尺寸（高×宽×深）：1980mm×700mm×500mm。</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8.探测区内磁感应强度：在探测区左右边界各向内150mm形成的区域中，任意一点的磁感应强度都不应该超过12uT。（需在检测报告中体现）。</w:t>
            </w:r>
          </w:p>
          <w:p>
            <w:pPr>
              <w:pStyle w:val="13"/>
              <w:spacing w:before="64" w:line="240" w:lineRule="auto"/>
              <w:ind w:right="138"/>
              <w:rPr>
                <w:rFonts w:hint="eastAsia" w:ascii="仿宋_GB2312" w:hAnsi="仿宋_GB2312" w:eastAsia="仿宋_GB2312" w:cs="仿宋_GB2312"/>
                <w:szCs w:val="21"/>
                <w:lang w:bidi="ar-SA"/>
              </w:rPr>
            </w:pPr>
            <w:r>
              <w:rPr>
                <w:rFonts w:hint="eastAsia" w:ascii="仿宋_GB2312" w:hAnsi="仿宋_GB2312" w:eastAsia="仿宋_GB2312" w:cs="仿宋_GB2312"/>
                <w:szCs w:val="21"/>
                <w:lang w:val="en-US"/>
              </w:rPr>
              <w:t>9.所投产品的厂家取得公安部警用装备采购中心2018-2019年度安检、训练及其他装备协议供货采购项目中标通知书的，且标注有通过式金属探测安检门字样</w:t>
            </w:r>
            <w:r>
              <w:rPr>
                <w:rFonts w:hint="eastAsia" w:ascii="仿宋_GB2312" w:hAnsi="仿宋_GB2312" w:eastAsia="仿宋_GB2312" w:cs="仿宋_GB2312"/>
                <w:szCs w:val="21"/>
              </w:rPr>
              <w:t>，原件备查。</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CellMar>
            <w:top w:w="0" w:type="dxa"/>
            <w:left w:w="108" w:type="dxa"/>
            <w:bottom w:w="0" w:type="dxa"/>
            <w:right w:w="108" w:type="dxa"/>
          </w:tblCellMar>
        </w:tblPrEx>
        <w:trPr>
          <w:gridAfter w:val="1"/>
          <w:wAfter w:w="405" w:type="dxa"/>
          <w:trHeight w:val="696"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4" w:type="dxa"/>
            <w:tcBorders>
              <w:top w:val="nil"/>
              <w:left w:val="nil"/>
              <w:bottom w:val="single" w:color="auto" w:sz="4" w:space="0"/>
              <w:right w:val="single" w:color="auto" w:sz="4" w:space="0"/>
            </w:tcBorders>
            <w:shd w:val="clear" w:color="auto" w:fill="auto"/>
            <w:vAlign w:val="center"/>
          </w:tcPr>
          <w:p>
            <w:pPr>
              <w:pStyle w:val="13"/>
              <w:spacing w:line="240" w:lineRule="auto"/>
              <w:ind w:right="180"/>
              <w:jc w:val="left"/>
              <w:rPr>
                <w:rFonts w:hint="eastAsia" w:ascii="仿宋_GB2312" w:hAnsi="仿宋_GB2312" w:eastAsia="仿宋_GB2312" w:cs="仿宋_GB2312"/>
                <w:color w:val="000000"/>
                <w:kern w:val="0"/>
                <w:szCs w:val="21"/>
                <w:lang w:val="en-US" w:bidi="ar-SA"/>
              </w:rPr>
            </w:pPr>
            <w:r>
              <w:rPr>
                <w:rFonts w:hint="eastAsia" w:ascii="仿宋_GB2312" w:hAnsi="仿宋_GB2312" w:eastAsia="仿宋_GB2312" w:cs="仿宋_GB2312"/>
                <w:color w:val="000000"/>
                <w:kern w:val="0"/>
                <w:szCs w:val="21"/>
                <w:lang w:val="en-US" w:bidi="ar-SA"/>
              </w:rPr>
              <w:t>行李X光机</w:t>
            </w:r>
          </w:p>
        </w:tc>
        <w:tc>
          <w:tcPr>
            <w:tcW w:w="5529" w:type="dxa"/>
            <w:tcBorders>
              <w:top w:val="nil"/>
              <w:left w:val="nil"/>
              <w:bottom w:val="single" w:color="auto" w:sz="4" w:space="0"/>
              <w:right w:val="single" w:color="auto" w:sz="4" w:space="0"/>
            </w:tcBorders>
            <w:shd w:val="clear" w:color="auto" w:fill="auto"/>
            <w:vAlign w:val="center"/>
          </w:tcPr>
          <w:p>
            <w:pPr>
              <w:pStyle w:val="13"/>
              <w:spacing w:before="64" w:line="240" w:lineRule="auto"/>
              <w:ind w:right="138"/>
              <w:rPr>
                <w:rFonts w:hint="eastAsia" w:ascii="仿宋_GB2312" w:hAnsi="仿宋_GB2312" w:eastAsia="仿宋_GB2312" w:cs="仿宋_GB2312"/>
                <w:szCs w:val="21"/>
              </w:rPr>
            </w:pPr>
            <w:r>
              <w:rPr>
                <w:rFonts w:hint="eastAsia" w:ascii="仿宋_GB2312" w:hAnsi="仿宋_GB2312" w:eastAsia="仿宋_GB2312" w:cs="仿宋_GB2312"/>
                <w:szCs w:val="21"/>
              </w:rPr>
              <w:t>1.通道尺寸：500（宽）╳300（高）mm。</w:t>
            </w:r>
          </w:p>
          <w:p>
            <w:pPr>
              <w:pStyle w:val="13"/>
              <w:spacing w:before="64" w:line="240" w:lineRule="auto"/>
              <w:ind w:right="138"/>
              <w:rPr>
                <w:rFonts w:hint="eastAsia" w:ascii="仿宋_GB2312" w:hAnsi="仿宋_GB2312" w:eastAsia="仿宋_GB2312" w:cs="仿宋_GB2312"/>
                <w:szCs w:val="21"/>
              </w:rPr>
            </w:pPr>
            <w:r>
              <w:rPr>
                <w:rFonts w:hint="eastAsia" w:ascii="仿宋_GB2312" w:hAnsi="仿宋_GB2312" w:eastAsia="仿宋_GB2312" w:cs="仿宋_GB2312"/>
                <w:szCs w:val="21"/>
              </w:rPr>
              <w:t xml:space="preserve">2.传送带速度：0.22m/s ，最大负荷：100Kg。 </w:t>
            </w:r>
          </w:p>
          <w:p>
            <w:pPr>
              <w:pStyle w:val="13"/>
              <w:spacing w:before="64" w:line="240" w:lineRule="auto"/>
              <w:ind w:right="138"/>
              <w:rPr>
                <w:rFonts w:hint="eastAsia" w:ascii="仿宋_GB2312" w:hAnsi="仿宋_GB2312" w:eastAsia="仿宋_GB2312" w:cs="仿宋_GB2312"/>
                <w:szCs w:val="21"/>
              </w:rPr>
            </w:pPr>
            <w:r>
              <w:rPr>
                <w:rFonts w:hint="eastAsia" w:ascii="仿宋_GB2312" w:hAnsi="仿宋_GB2312" w:eastAsia="仿宋_GB2312" w:cs="仿宋_GB2312"/>
                <w:szCs w:val="21"/>
              </w:rPr>
              <w:t>3.线分辨率：能达到分辨直径0.202mm的单根实芯铜线。</w:t>
            </w:r>
          </w:p>
          <w:p>
            <w:pPr>
              <w:pStyle w:val="13"/>
              <w:spacing w:before="64" w:line="240" w:lineRule="auto"/>
              <w:ind w:right="138"/>
              <w:rPr>
                <w:rFonts w:hint="eastAsia" w:ascii="仿宋_GB2312" w:hAnsi="仿宋_GB2312" w:eastAsia="仿宋_GB2312" w:cs="仿宋_GB2312"/>
                <w:szCs w:val="21"/>
              </w:rPr>
            </w:pPr>
            <w:r>
              <w:rPr>
                <w:rFonts w:hint="eastAsia" w:ascii="仿宋_GB2312" w:hAnsi="仿宋_GB2312" w:eastAsia="仿宋_GB2312" w:cs="仿宋_GB2312"/>
                <w:szCs w:val="21"/>
              </w:rPr>
              <w:t>4.空间分辨力：水平方向能分辨直径1.3mm的单芯铜线；垂直方向能分辨直径1.3mm的单芯铜线。</w:t>
            </w:r>
          </w:p>
          <w:p>
            <w:pPr>
              <w:pStyle w:val="13"/>
              <w:spacing w:before="64" w:line="240" w:lineRule="auto"/>
              <w:ind w:right="138"/>
              <w:rPr>
                <w:rFonts w:hint="eastAsia" w:ascii="仿宋_GB2312" w:hAnsi="仿宋_GB2312" w:eastAsia="仿宋_GB2312" w:cs="仿宋_GB2312"/>
                <w:szCs w:val="21"/>
              </w:rPr>
            </w:pPr>
            <w:r>
              <w:rPr>
                <w:rFonts w:hint="eastAsia" w:ascii="仿宋_GB2312" w:hAnsi="仿宋_GB2312" w:eastAsia="仿宋_GB2312" w:cs="仿宋_GB2312"/>
                <w:szCs w:val="21"/>
              </w:rPr>
              <w:t>5.穿透力：10mm钢板。</w:t>
            </w:r>
          </w:p>
          <w:p>
            <w:pPr>
              <w:pStyle w:val="13"/>
              <w:spacing w:before="64" w:line="240" w:lineRule="auto"/>
              <w:ind w:right="138"/>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6.穿透分辨力：能达到分辨直径≤0.202mm的单根实芯铜线</w:t>
            </w:r>
            <w:r>
              <w:rPr>
                <w:rFonts w:hint="eastAsia" w:ascii="仿宋_GB2312" w:hAnsi="仿宋_GB2312" w:eastAsia="仿宋_GB2312" w:cs="仿宋_GB2312"/>
                <w:szCs w:val="21"/>
                <w:lang w:eastAsia="zh-CN"/>
              </w:rPr>
              <w:t>。</w:t>
            </w:r>
          </w:p>
          <w:p>
            <w:pPr>
              <w:pStyle w:val="13"/>
              <w:spacing w:before="64" w:line="240" w:lineRule="auto"/>
              <w:ind w:right="138"/>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7.泄漏射线剂量率检验：0.13µGy/h，单次检查剂量检验1.25µGy</w:t>
            </w:r>
            <w:r>
              <w:rPr>
                <w:rFonts w:hint="eastAsia" w:ascii="仿宋_GB2312" w:hAnsi="仿宋_GB2312" w:eastAsia="仿宋_GB2312" w:cs="仿宋_GB2312"/>
                <w:szCs w:val="21"/>
                <w:lang w:eastAsia="zh-CN"/>
              </w:rPr>
              <w:t>。</w:t>
            </w:r>
          </w:p>
          <w:p>
            <w:pPr>
              <w:pStyle w:val="13"/>
              <w:spacing w:before="64" w:line="240" w:lineRule="auto"/>
              <w:ind w:right="138"/>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8.显示器：高分辨率17英寸液晶显示器</w:t>
            </w:r>
            <w:r>
              <w:rPr>
                <w:rFonts w:hint="eastAsia" w:ascii="仿宋_GB2312" w:hAnsi="仿宋_GB2312" w:eastAsia="仿宋_GB2312" w:cs="仿宋_GB2312"/>
                <w:szCs w:val="21"/>
                <w:lang w:eastAsia="zh-CN"/>
              </w:rPr>
              <w:t>。</w:t>
            </w:r>
          </w:p>
          <w:p>
            <w:pPr>
              <w:pStyle w:val="13"/>
              <w:spacing w:before="64" w:line="240" w:lineRule="auto"/>
              <w:ind w:right="138"/>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9.图像分辨率及灰像度：分辨率：1024 * 768；灰像度：4096</w:t>
            </w:r>
            <w:r>
              <w:rPr>
                <w:rFonts w:hint="eastAsia" w:ascii="仿宋_GB2312" w:hAnsi="仿宋_GB2312" w:eastAsia="仿宋_GB2312" w:cs="仿宋_GB2312"/>
                <w:szCs w:val="21"/>
                <w:lang w:eastAsia="zh-CN"/>
              </w:rPr>
              <w:t>。</w:t>
            </w:r>
          </w:p>
          <w:p>
            <w:pPr>
              <w:pStyle w:val="13"/>
              <w:spacing w:before="64" w:line="240" w:lineRule="auto"/>
              <w:ind w:right="138"/>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10.图像处理：24bit实时处理、彩色/黑白图像、反像显示、边缘增强、物体轮廓边缘及图像细节更加清晰，图像加亮、图像减暗、图像回拉前20幅图片、报警功能、图像检索</w:t>
            </w:r>
            <w:r>
              <w:rPr>
                <w:rFonts w:hint="eastAsia" w:ascii="仿宋_GB2312" w:hAnsi="仿宋_GB2312" w:eastAsia="仿宋_GB2312" w:cs="仿宋_GB2312"/>
                <w:szCs w:val="21"/>
                <w:lang w:eastAsia="zh-CN"/>
              </w:rPr>
              <w:t>。</w:t>
            </w:r>
          </w:p>
          <w:p>
            <w:pPr>
              <w:pStyle w:val="13"/>
              <w:spacing w:before="64" w:line="240" w:lineRule="auto"/>
              <w:ind w:right="138"/>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11.图像保存、选区、放大及恢复：实时存储100000幅、可选择1-9个选区，并2-68倍实时放大，图像显示恢复到最初状态</w:t>
            </w:r>
            <w:r>
              <w:rPr>
                <w:rFonts w:hint="eastAsia" w:ascii="仿宋_GB2312" w:hAnsi="仿宋_GB2312" w:eastAsia="仿宋_GB2312" w:cs="仿宋_GB2312"/>
                <w:szCs w:val="21"/>
                <w:lang w:eastAsia="zh-CN"/>
              </w:rPr>
              <w:t>。</w:t>
            </w:r>
          </w:p>
          <w:p>
            <w:pPr>
              <w:pStyle w:val="13"/>
              <w:spacing w:before="64" w:line="240" w:lineRule="auto"/>
              <w:ind w:right="138"/>
              <w:rPr>
                <w:rFonts w:hint="eastAsia" w:ascii="仿宋_GB2312" w:hAnsi="仿宋_GB2312" w:eastAsia="仿宋_GB2312" w:cs="仿宋_GB2312"/>
                <w:szCs w:val="21"/>
              </w:rPr>
            </w:pPr>
            <w:r>
              <w:rPr>
                <w:rFonts w:hint="eastAsia" w:ascii="仿宋_GB2312" w:hAnsi="仿宋_GB2312" w:eastAsia="仿宋_GB2312" w:cs="仿宋_GB2312"/>
                <w:szCs w:val="21"/>
              </w:rPr>
              <w:t>12.高能、低能穿透显示及切换：提高图像亮区、暗区的对比度，使易穿透区及难穿透区更清晰，两种能量切换显示</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  </w:t>
            </w:r>
          </w:p>
          <w:p>
            <w:pPr>
              <w:pStyle w:val="13"/>
              <w:spacing w:before="64" w:line="240" w:lineRule="auto"/>
              <w:ind w:right="138"/>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13.毒品炸药辅助探测：辅助探测一些典型毒品炸药等危险物品</w:t>
            </w:r>
            <w:r>
              <w:rPr>
                <w:rFonts w:hint="eastAsia" w:ascii="仿宋_GB2312" w:hAnsi="仿宋_GB2312" w:eastAsia="仿宋_GB2312" w:cs="仿宋_GB2312"/>
                <w:szCs w:val="21"/>
                <w:lang w:eastAsia="zh-CN"/>
              </w:rPr>
              <w:t>。</w:t>
            </w:r>
          </w:p>
          <w:p>
            <w:pPr>
              <w:pStyle w:val="13"/>
              <w:spacing w:before="64" w:line="240" w:lineRule="auto"/>
              <w:ind w:right="138"/>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14.噪声级：55dB</w:t>
            </w:r>
            <w:r>
              <w:rPr>
                <w:rFonts w:hint="eastAsia" w:ascii="仿宋_GB2312" w:hAnsi="仿宋_GB2312" w:eastAsia="仿宋_GB2312" w:cs="仿宋_GB2312"/>
                <w:szCs w:val="21"/>
                <w:lang w:eastAsia="zh-CN"/>
              </w:rPr>
              <w:t>。</w:t>
            </w:r>
          </w:p>
          <w:p>
            <w:pPr>
              <w:pStyle w:val="13"/>
              <w:spacing w:before="64" w:line="240" w:lineRule="auto"/>
              <w:ind w:right="138"/>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15.一键式开关：一键式开关机控制</w:t>
            </w:r>
            <w:r>
              <w:rPr>
                <w:rFonts w:hint="eastAsia" w:ascii="仿宋_GB2312" w:hAnsi="仿宋_GB2312" w:eastAsia="仿宋_GB2312" w:cs="仿宋_GB2312"/>
                <w:szCs w:val="21"/>
                <w:lang w:eastAsia="zh-CN"/>
              </w:rPr>
              <w:t>。</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CellMar>
            <w:top w:w="0" w:type="dxa"/>
            <w:left w:w="108" w:type="dxa"/>
            <w:bottom w:w="0" w:type="dxa"/>
            <w:right w:w="108" w:type="dxa"/>
          </w:tblCellMar>
        </w:tblPrEx>
        <w:trPr>
          <w:gridAfter w:val="1"/>
          <w:wAfter w:w="405" w:type="dxa"/>
          <w:trHeight w:val="438"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测温人证识别通道</w:t>
            </w:r>
          </w:p>
        </w:tc>
        <w:tc>
          <w:tcPr>
            <w:tcW w:w="5529" w:type="dxa"/>
            <w:tcBorders>
              <w:top w:val="nil"/>
              <w:left w:val="nil"/>
              <w:bottom w:val="single" w:color="auto" w:sz="4" w:space="0"/>
              <w:right w:val="single" w:color="auto" w:sz="4" w:space="0"/>
            </w:tcBorders>
            <w:shd w:val="clear" w:color="auto" w:fill="auto"/>
            <w:vAlign w:val="center"/>
          </w:tcPr>
          <w:p>
            <w:pPr>
              <w:pStyle w:val="13"/>
              <w:spacing w:before="156" w:line="240" w:lineRule="auto"/>
              <w:ind w:right="138"/>
              <w:rPr>
                <w:rFonts w:hint="eastAsia" w:ascii="仿宋_GB2312" w:hAnsi="仿宋_GB2312" w:eastAsia="仿宋_GB2312" w:cs="仿宋_GB2312"/>
                <w:szCs w:val="21"/>
                <w:lang w:bidi="ar-SA"/>
              </w:rPr>
            </w:pPr>
            <w:r>
              <w:rPr>
                <w:rFonts w:hint="eastAsia" w:ascii="仿宋_GB2312" w:hAnsi="仿宋_GB2312" w:eastAsia="仿宋_GB2312" w:cs="仿宋_GB2312"/>
                <w:szCs w:val="21"/>
                <w:lang w:bidi="ar-SA"/>
              </w:rPr>
              <w:t>采用一进一出闸机形式对来访人员的出入进行管理，维护良好的现场秩序；闸机进入方式为人证比对核验并进行体温检测，人证合一且体温正常人员方可允许进入；闸机离开管理方式为自动感应模式，来访人员进入出闸区域自动感应，单向开门，依次有序离开；闸机参数：</w:t>
            </w:r>
          </w:p>
          <w:p>
            <w:pPr>
              <w:spacing w:line="240" w:lineRule="auto"/>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1.机箱材料：国产标准(304号)不锈钢</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br w:type="textWrapping"/>
            </w:r>
            <w:r>
              <w:rPr>
                <w:rFonts w:hint="eastAsia" w:ascii="仿宋_GB2312" w:hAnsi="仿宋_GB2312" w:eastAsia="仿宋_GB2312" w:cs="仿宋_GB2312"/>
                <w:color w:val="000000"/>
                <w:szCs w:val="21"/>
              </w:rPr>
              <w:t>2.机箱尺寸：单机1000*160*980mm，双机芯</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1000*200*980mm，（可根据客户需要定制尺寸）</w:t>
            </w:r>
            <w:r>
              <w:rPr>
                <w:rFonts w:hint="eastAsia" w:ascii="仿宋_GB2312" w:hAnsi="仿宋_GB2312" w:eastAsia="仿宋_GB2312" w:cs="仿宋_GB2312"/>
                <w:color w:val="000000"/>
                <w:szCs w:val="21"/>
                <w:lang w:eastAsia="zh-CN"/>
              </w:rPr>
              <w:t>。</w:t>
            </w:r>
          </w:p>
          <w:p>
            <w:pPr>
              <w:spacing w:line="240" w:lineRule="auto"/>
              <w:jc w:val="left"/>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3.摆臂长：小于730mm</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br w:type="textWrapping"/>
            </w:r>
            <w:r>
              <w:rPr>
                <w:rFonts w:hint="eastAsia" w:ascii="仿宋_GB2312" w:hAnsi="仿宋_GB2312" w:eastAsia="仿宋_GB2312" w:cs="仿宋_GB2312"/>
                <w:color w:val="000000"/>
                <w:szCs w:val="21"/>
              </w:rPr>
              <w:t>4.重量：80Kg</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br w:type="textWrapping"/>
            </w:r>
            <w:r>
              <w:rPr>
                <w:rFonts w:hint="eastAsia" w:ascii="仿宋_GB2312" w:hAnsi="仿宋_GB2312" w:eastAsia="仿宋_GB2312" w:cs="仿宋_GB2312"/>
                <w:color w:val="000000"/>
                <w:szCs w:val="21"/>
              </w:rPr>
              <w:t>5.摆臂传动角度：180度</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br w:type="textWrapping"/>
            </w:r>
            <w:r>
              <w:rPr>
                <w:rFonts w:hint="eastAsia" w:ascii="仿宋_GB2312" w:hAnsi="仿宋_GB2312" w:eastAsia="仿宋_GB2312" w:cs="仿宋_GB2312"/>
                <w:color w:val="000000"/>
                <w:szCs w:val="21"/>
              </w:rPr>
              <w:t>6.摆动方向：单向或双向</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br w:type="textWrapping"/>
            </w:r>
            <w:r>
              <w:rPr>
                <w:rFonts w:hint="eastAsia" w:ascii="仿宋_GB2312" w:hAnsi="仿宋_GB2312" w:eastAsia="仿宋_GB2312" w:cs="仿宋_GB2312"/>
                <w:color w:val="000000"/>
                <w:szCs w:val="21"/>
              </w:rPr>
              <w:t>7.通信接口：RS485标准 距离≤1200米</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br w:type="textWrapping"/>
            </w:r>
            <w:r>
              <w:rPr>
                <w:rFonts w:hint="eastAsia" w:ascii="仿宋_GB2312" w:hAnsi="仿宋_GB2312" w:eastAsia="仿宋_GB2312" w:cs="仿宋_GB2312"/>
                <w:szCs w:val="21"/>
              </w:rPr>
              <w:t>8.通行速度： 40人/分钟（常开）</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25-30人/分钟（常闭）</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9.闸门开、关时间：1-2秒</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10.温度：-10℃—— 50℃ 相对湿度：≤90%，不凝露</w:t>
            </w:r>
            <w:r>
              <w:rPr>
                <w:rFonts w:hint="eastAsia" w:ascii="仿宋_GB2312" w:hAnsi="仿宋_GB2312" w:eastAsia="仿宋_GB2312" w:cs="仿宋_GB2312"/>
                <w:szCs w:val="21"/>
                <w:lang w:eastAsia="zh-CN"/>
              </w:rPr>
              <w:t>。</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b/>
                <w:bCs/>
                <w:szCs w:val="21"/>
              </w:rPr>
              <w:t>人证设备参数</w:t>
            </w:r>
            <w:r>
              <w:rPr>
                <w:rFonts w:hint="eastAsia" w:ascii="仿宋_GB2312" w:hAnsi="仿宋_GB2312" w:eastAsia="仿宋_GB2312" w:cs="仿宋_GB2312"/>
                <w:szCs w:val="21"/>
              </w:rPr>
              <w:t>：</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1.操作系统：Android</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 </w:t>
            </w:r>
          </w:p>
          <w:p>
            <w:pPr>
              <w:spacing w:line="24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2.内存：2GB</w:t>
            </w:r>
            <w:r>
              <w:rPr>
                <w:rFonts w:hint="eastAsia" w:ascii="仿宋_GB2312" w:hAnsi="仿宋_GB2312" w:eastAsia="仿宋_GB2312" w:cs="仿宋_GB2312"/>
                <w:szCs w:val="21"/>
                <w:lang w:eastAsia="zh-CN"/>
              </w:rPr>
              <w:t>；</w:t>
            </w:r>
          </w:p>
          <w:p>
            <w:pPr>
              <w:spacing w:line="24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3.存储器</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8GB</w:t>
            </w:r>
            <w:r>
              <w:rPr>
                <w:rFonts w:hint="eastAsia" w:ascii="仿宋_GB2312" w:hAnsi="仿宋_GB2312" w:eastAsia="仿宋_GB2312" w:cs="仿宋_GB2312"/>
                <w:szCs w:val="21"/>
                <w:lang w:eastAsia="zh-CN"/>
              </w:rPr>
              <w:t>；</w:t>
            </w:r>
          </w:p>
          <w:p>
            <w:pPr>
              <w:spacing w:line="24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4.屏幕：8英寸，全视角IPS液晶屏，1280*800</w:t>
            </w:r>
            <w:r>
              <w:rPr>
                <w:rFonts w:hint="eastAsia" w:ascii="仿宋_GB2312" w:hAnsi="仿宋_GB2312" w:eastAsia="仿宋_GB2312" w:cs="仿宋_GB2312"/>
                <w:szCs w:val="21"/>
                <w:lang w:eastAsia="zh-CN"/>
              </w:rPr>
              <w:t>；</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5.摄像头：200W宽动态双摄活体防伪人脸摄像头，4.0mm光圈，0-2M焦距，自动白平衡；</w:t>
            </w:r>
          </w:p>
          <w:p>
            <w:pPr>
              <w:spacing w:line="24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6.测温模块：测量距离0.5- 1米</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测量精度±0.3摄氏度</w:t>
            </w:r>
            <w:r>
              <w:rPr>
                <w:rFonts w:hint="eastAsia" w:ascii="仿宋_GB2312" w:hAnsi="仿宋_GB2312" w:eastAsia="仿宋_GB2312" w:cs="仿宋_GB2312"/>
                <w:szCs w:val="21"/>
                <w:lang w:eastAsia="zh-CN"/>
              </w:rPr>
              <w:t>；</w:t>
            </w:r>
          </w:p>
          <w:p>
            <w:pPr>
              <w:spacing w:line="24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7.防护等级：IP64，支持防水防尘，支持户外带遮阳罩使用</w:t>
            </w:r>
            <w:r>
              <w:rPr>
                <w:rFonts w:hint="eastAsia" w:ascii="仿宋_GB2312" w:hAnsi="仿宋_GB2312" w:eastAsia="仿宋_GB2312" w:cs="仿宋_GB2312"/>
                <w:szCs w:val="21"/>
                <w:lang w:eastAsia="zh-CN"/>
              </w:rPr>
              <w:t>；</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8.识别高度：1.2-2.2米，识别距离：0.5-5米</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 </w:t>
            </w:r>
          </w:p>
          <w:p>
            <w:pPr>
              <w:spacing w:line="24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9.人脸库：单机支持20000人</w:t>
            </w:r>
            <w:r>
              <w:rPr>
                <w:rFonts w:hint="eastAsia" w:ascii="仿宋_GB2312" w:hAnsi="仿宋_GB2312" w:eastAsia="仿宋_GB2312" w:cs="仿宋_GB2312"/>
                <w:szCs w:val="21"/>
                <w:lang w:eastAsia="zh-CN"/>
              </w:rPr>
              <w:t>；</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10.人脸检测跟踪：10-20ms</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   </w:t>
            </w:r>
          </w:p>
          <w:p>
            <w:pPr>
              <w:spacing w:line="240" w:lineRule="auto"/>
              <w:rPr>
                <w:rFonts w:hint="eastAsia" w:ascii="仿宋_GB2312" w:hAnsi="仿宋_GB2312" w:eastAsia="仿宋_GB2312" w:cs="仿宋_GB2312"/>
                <w:szCs w:val="21"/>
                <w:lang w:val="zh-CN" w:eastAsia="zh-CN"/>
              </w:rPr>
            </w:pPr>
            <w:r>
              <w:rPr>
                <w:rFonts w:hint="eastAsia" w:ascii="仿宋_GB2312" w:hAnsi="仿宋_GB2312" w:eastAsia="仿宋_GB2312" w:cs="仿宋_GB2312"/>
                <w:szCs w:val="21"/>
              </w:rPr>
              <w:t>11.体温检测：支持</w:t>
            </w:r>
            <w:r>
              <w:rPr>
                <w:rFonts w:hint="eastAsia" w:ascii="仿宋_GB2312" w:hAnsi="仿宋_GB2312" w:eastAsia="仿宋_GB2312" w:cs="仿宋_GB2312"/>
                <w:szCs w:val="21"/>
                <w:lang w:eastAsia="zh-CN"/>
              </w:rPr>
              <w:t>。</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套</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CellMar>
            <w:top w:w="0" w:type="dxa"/>
            <w:left w:w="108" w:type="dxa"/>
            <w:bottom w:w="0" w:type="dxa"/>
            <w:right w:w="108" w:type="dxa"/>
          </w:tblCellMar>
        </w:tblPrEx>
        <w:trPr>
          <w:gridAfter w:val="1"/>
          <w:wAfter w:w="405" w:type="dxa"/>
          <w:trHeight w:val="558"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信访人脸比对系统</w:t>
            </w:r>
          </w:p>
        </w:tc>
        <w:tc>
          <w:tcPr>
            <w:tcW w:w="5529" w:type="dxa"/>
            <w:tcBorders>
              <w:top w:val="nil"/>
              <w:left w:val="nil"/>
              <w:bottom w:val="single" w:color="auto" w:sz="4" w:space="0"/>
              <w:right w:val="single" w:color="auto" w:sz="4" w:space="0"/>
            </w:tcBorders>
            <w:shd w:val="clear" w:color="auto" w:fill="auto"/>
            <w:vAlign w:val="center"/>
          </w:tcPr>
          <w:p>
            <w:pPr>
              <w:spacing w:line="24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1.系统读取来访人员证件信息，抓拍来访人员人像信息，比对核验来访人员身份真实性，并建立来访人员身份信息库、人脸信息库</w:t>
            </w:r>
            <w:r>
              <w:rPr>
                <w:rFonts w:hint="eastAsia" w:ascii="仿宋_GB2312" w:hAnsi="仿宋_GB2312" w:eastAsia="仿宋_GB2312" w:cs="仿宋_GB2312"/>
                <w:szCs w:val="21"/>
                <w:lang w:eastAsia="zh-CN"/>
              </w:rPr>
              <w:t>。</w:t>
            </w:r>
          </w:p>
          <w:p>
            <w:pPr>
              <w:spacing w:line="24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2.系统统计来访人员频次信息，建立重复来访人员信息库，可查询重复来访人员信息</w:t>
            </w:r>
            <w:r>
              <w:rPr>
                <w:rFonts w:hint="eastAsia" w:ascii="仿宋_GB2312" w:hAnsi="仿宋_GB2312" w:eastAsia="仿宋_GB2312" w:cs="仿宋_GB2312"/>
                <w:szCs w:val="21"/>
                <w:lang w:eastAsia="zh-CN"/>
              </w:rPr>
              <w:t>。</w:t>
            </w:r>
          </w:p>
          <w:p>
            <w:pPr>
              <w:spacing w:line="24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★3.系统与深圳市信访维稳工作信息化平台智能对接，关联来访人员历史信访记录信息，可查看来访人员相关历史信访信息</w:t>
            </w:r>
            <w:r>
              <w:rPr>
                <w:rFonts w:hint="eastAsia" w:ascii="仿宋_GB2312" w:hAnsi="仿宋_GB2312" w:eastAsia="仿宋_GB2312" w:cs="仿宋_GB2312"/>
                <w:szCs w:val="21"/>
                <w:lang w:eastAsia="zh-CN"/>
              </w:rPr>
              <w:t>。</w:t>
            </w:r>
          </w:p>
          <w:p>
            <w:pPr>
              <w:spacing w:line="240" w:lineRule="auto"/>
              <w:rPr>
                <w:rFonts w:hint="eastAsia" w:ascii="仿宋_GB2312" w:hAnsi="仿宋_GB2312" w:eastAsia="仿宋_GB2312" w:cs="仿宋_GB2312"/>
                <w:color w:val="FF0000"/>
                <w:szCs w:val="21"/>
                <w:lang w:eastAsia="zh-CN"/>
              </w:rPr>
            </w:pPr>
            <w:r>
              <w:rPr>
                <w:rFonts w:hint="eastAsia" w:ascii="仿宋_GB2312" w:hAnsi="仿宋_GB2312" w:eastAsia="仿宋_GB2312" w:cs="仿宋_GB2312"/>
                <w:szCs w:val="21"/>
              </w:rPr>
              <w:t>★4.系统与深圳市公安重点人员信息库进行智能对接，检测到来访人员为重点人员时及时预警，自动推送预警信息到相关领导或工作人员手机，辅助相关部门及时知情并针对性开展工作</w:t>
            </w:r>
            <w:r>
              <w:rPr>
                <w:rFonts w:hint="eastAsia" w:ascii="仿宋_GB2312" w:hAnsi="仿宋_GB2312" w:eastAsia="仿宋_GB2312" w:cs="仿宋_GB2312"/>
                <w:szCs w:val="21"/>
                <w:lang w:eastAsia="zh-CN"/>
              </w:rPr>
              <w:t>。</w:t>
            </w:r>
          </w:p>
        </w:tc>
        <w:tc>
          <w:tcPr>
            <w:tcW w:w="682" w:type="dxa"/>
            <w:tcBorders>
              <w:top w:val="nil"/>
              <w:left w:val="nil"/>
              <w:bottom w:val="single" w:color="auto" w:sz="4" w:space="0"/>
              <w:right w:val="single" w:color="auto" w:sz="4" w:space="0"/>
            </w:tcBorders>
            <w:shd w:val="clear" w:color="auto" w:fill="auto"/>
            <w:vAlign w:val="center"/>
          </w:tcPr>
          <w:p>
            <w:pPr>
              <w:pStyle w:val="13"/>
              <w:ind w:left="6"/>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lang w:val="en-US" w:bidi="ar-SA"/>
              </w:rPr>
              <w:t>套</w:t>
            </w:r>
          </w:p>
        </w:tc>
        <w:tc>
          <w:tcPr>
            <w:tcW w:w="735" w:type="dxa"/>
            <w:tcBorders>
              <w:top w:val="nil"/>
              <w:left w:val="nil"/>
              <w:bottom w:val="single" w:color="auto" w:sz="4" w:space="0"/>
              <w:right w:val="single" w:color="auto" w:sz="4" w:space="0"/>
            </w:tcBorders>
            <w:shd w:val="clear" w:color="auto" w:fill="auto"/>
            <w:vAlign w:val="center"/>
          </w:tcPr>
          <w:p>
            <w:pPr>
              <w:pStyle w:val="13"/>
              <w:jc w:val="center"/>
              <w:rPr>
                <w:rFonts w:hint="eastAsia" w:ascii="仿宋_GB2312" w:hAnsi="仿宋_GB2312" w:eastAsia="仿宋_GB2312" w:cs="仿宋_GB2312"/>
                <w:szCs w:val="21"/>
                <w:lang w:val="en-US" w:bidi="ar-SA"/>
              </w:rPr>
            </w:pPr>
            <w:r>
              <w:rPr>
                <w:rFonts w:hint="eastAsia" w:ascii="仿宋_GB2312" w:hAnsi="仿宋_GB2312" w:eastAsia="仿宋_GB2312" w:cs="仿宋_GB2312"/>
                <w:szCs w:val="21"/>
                <w:lang w:val="en-US" w:bidi="ar-SA"/>
              </w:rPr>
              <w:t>1</w:t>
            </w:r>
          </w:p>
        </w:tc>
      </w:tr>
      <w:tr>
        <w:tblPrEx>
          <w:tblCellMar>
            <w:top w:w="0" w:type="dxa"/>
            <w:left w:w="108" w:type="dxa"/>
            <w:bottom w:w="0" w:type="dxa"/>
            <w:right w:w="108" w:type="dxa"/>
          </w:tblCellMar>
        </w:tblPrEx>
        <w:trPr>
          <w:gridAfter w:val="1"/>
          <w:wAfter w:w="405" w:type="dxa"/>
          <w:trHeight w:val="164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1134" w:type="dxa"/>
            <w:tcBorders>
              <w:top w:val="nil"/>
              <w:left w:val="nil"/>
              <w:bottom w:val="single" w:color="auto" w:sz="4" w:space="0"/>
              <w:right w:val="single" w:color="auto" w:sz="4" w:space="0"/>
            </w:tcBorders>
            <w:shd w:val="clear" w:color="auto" w:fill="auto"/>
            <w:vAlign w:val="center"/>
          </w:tcPr>
          <w:p>
            <w:pPr>
              <w:pStyle w:val="13"/>
              <w:spacing w:before="146" w:line="240" w:lineRule="auto"/>
              <w:ind w:right="-15"/>
              <w:jc w:val="center"/>
              <w:rPr>
                <w:rFonts w:hint="eastAsia" w:ascii="仿宋_GB2312" w:hAnsi="仿宋_GB2312" w:eastAsia="仿宋_GB2312" w:cs="仿宋_GB2312"/>
                <w:szCs w:val="21"/>
                <w:lang w:val="en-US" w:bidi="ar-SA"/>
              </w:rPr>
            </w:pPr>
            <w:r>
              <w:rPr>
                <w:rFonts w:hint="eastAsia" w:ascii="仿宋_GB2312" w:hAnsi="仿宋_GB2312" w:eastAsia="仿宋_GB2312" w:cs="仿宋_GB2312"/>
                <w:szCs w:val="21"/>
                <w:lang w:val="en-US" w:bidi="ar-SA"/>
              </w:rPr>
              <w:t>物理隔离宣传隔段栏</w:t>
            </w:r>
          </w:p>
        </w:tc>
        <w:tc>
          <w:tcPr>
            <w:tcW w:w="5529" w:type="dxa"/>
            <w:tcBorders>
              <w:top w:val="nil"/>
              <w:left w:val="nil"/>
              <w:bottom w:val="single" w:color="auto" w:sz="4" w:space="0"/>
              <w:right w:val="single" w:color="auto" w:sz="4" w:space="0"/>
            </w:tcBorders>
            <w:shd w:val="clear" w:color="auto" w:fill="auto"/>
            <w:vAlign w:val="center"/>
          </w:tcPr>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1.主体样式：双面宣传喷绘。</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2.框架材质：不锈钢。</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3.尺寸：2000mm*1800mm*200mm。</w:t>
            </w:r>
          </w:p>
          <w:p>
            <w:pPr>
              <w:spacing w:line="240" w:lineRule="auto"/>
              <w:rPr>
                <w:rFonts w:hint="eastAsia" w:ascii="仿宋_GB2312" w:hAnsi="仿宋_GB2312" w:eastAsia="仿宋_GB2312" w:cs="仿宋_GB2312"/>
                <w:color w:val="FF0000"/>
                <w:kern w:val="0"/>
                <w:szCs w:val="21"/>
              </w:rPr>
            </w:pPr>
            <w:r>
              <w:rPr>
                <w:rFonts w:hint="eastAsia" w:ascii="仿宋_GB2312" w:hAnsi="仿宋_GB2312" w:eastAsia="仿宋_GB2312" w:cs="仿宋_GB2312"/>
                <w:szCs w:val="21"/>
              </w:rPr>
              <w:t>4.开关移动方式：滑轮及扣锁。</w:t>
            </w:r>
          </w:p>
        </w:tc>
        <w:tc>
          <w:tcPr>
            <w:tcW w:w="682" w:type="dxa"/>
            <w:tcBorders>
              <w:top w:val="nil"/>
              <w:left w:val="nil"/>
              <w:bottom w:val="single" w:color="auto" w:sz="4" w:space="0"/>
              <w:right w:val="single" w:color="auto" w:sz="4" w:space="0"/>
            </w:tcBorders>
            <w:shd w:val="clear" w:color="auto" w:fill="auto"/>
            <w:vAlign w:val="center"/>
          </w:tcPr>
          <w:p>
            <w:pPr>
              <w:pStyle w:val="13"/>
              <w:ind w:left="6"/>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lang w:val="en-US" w:bidi="ar-SA"/>
              </w:rPr>
              <w:t>套</w:t>
            </w:r>
          </w:p>
        </w:tc>
        <w:tc>
          <w:tcPr>
            <w:tcW w:w="735" w:type="dxa"/>
            <w:tcBorders>
              <w:top w:val="nil"/>
              <w:left w:val="nil"/>
              <w:bottom w:val="single" w:color="auto" w:sz="4" w:space="0"/>
              <w:right w:val="single" w:color="auto" w:sz="4" w:space="0"/>
            </w:tcBorders>
            <w:shd w:val="clear" w:color="auto" w:fill="auto"/>
            <w:vAlign w:val="center"/>
          </w:tcPr>
          <w:p>
            <w:pPr>
              <w:pStyle w:val="13"/>
              <w:jc w:val="center"/>
              <w:rPr>
                <w:rFonts w:hint="eastAsia" w:ascii="仿宋_GB2312" w:hAnsi="仿宋_GB2312" w:eastAsia="仿宋_GB2312" w:cs="仿宋_GB2312"/>
                <w:szCs w:val="21"/>
                <w:lang w:val="en-US" w:bidi="ar-SA"/>
              </w:rPr>
            </w:pPr>
            <w:r>
              <w:rPr>
                <w:rFonts w:hint="eastAsia" w:ascii="仿宋_GB2312" w:hAnsi="仿宋_GB2312" w:eastAsia="仿宋_GB2312" w:cs="仿宋_GB2312"/>
                <w:szCs w:val="21"/>
                <w:lang w:val="en-US" w:bidi="ar-SA"/>
              </w:rPr>
              <w:t>1</w:t>
            </w:r>
          </w:p>
        </w:tc>
      </w:tr>
      <w:tr>
        <w:tblPrEx>
          <w:tblCellMar>
            <w:top w:w="0" w:type="dxa"/>
            <w:left w:w="108" w:type="dxa"/>
            <w:bottom w:w="0" w:type="dxa"/>
            <w:right w:w="108" w:type="dxa"/>
          </w:tblCellMar>
        </w:tblPrEx>
        <w:trPr>
          <w:gridAfter w:val="1"/>
          <w:wAfter w:w="405" w:type="dxa"/>
          <w:trHeight w:val="828"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1134" w:type="dxa"/>
            <w:tcBorders>
              <w:top w:val="nil"/>
              <w:left w:val="nil"/>
              <w:bottom w:val="single" w:color="auto" w:sz="4" w:space="0"/>
              <w:right w:val="single" w:color="auto" w:sz="4" w:space="0"/>
            </w:tcBorders>
            <w:shd w:val="clear" w:color="auto" w:fill="auto"/>
            <w:vAlign w:val="center"/>
          </w:tcPr>
          <w:p>
            <w:pPr>
              <w:pStyle w:val="13"/>
              <w:spacing w:before="146" w:line="240" w:lineRule="auto"/>
              <w:ind w:right="-15"/>
              <w:jc w:val="center"/>
              <w:rPr>
                <w:rFonts w:hint="eastAsia" w:ascii="仿宋_GB2312" w:hAnsi="仿宋_GB2312" w:eastAsia="仿宋_GB2312" w:cs="仿宋_GB2312"/>
                <w:szCs w:val="21"/>
                <w:lang w:val="en-US" w:bidi="ar-SA"/>
              </w:rPr>
            </w:pPr>
            <w:r>
              <w:rPr>
                <w:rFonts w:hint="eastAsia" w:ascii="仿宋_GB2312" w:hAnsi="仿宋_GB2312" w:eastAsia="仿宋_GB2312" w:cs="仿宋_GB2312"/>
                <w:szCs w:val="21"/>
                <w:lang w:val="en-US" w:bidi="ar-SA"/>
              </w:rPr>
              <w:t>隔离带</w:t>
            </w:r>
          </w:p>
        </w:tc>
        <w:tc>
          <w:tcPr>
            <w:tcW w:w="5529" w:type="dxa"/>
            <w:tcBorders>
              <w:top w:val="nil"/>
              <w:left w:val="nil"/>
              <w:bottom w:val="single" w:color="auto" w:sz="4" w:space="0"/>
              <w:right w:val="single" w:color="auto" w:sz="4" w:space="0"/>
            </w:tcBorders>
            <w:shd w:val="clear" w:color="auto" w:fill="auto"/>
            <w:vAlign w:val="center"/>
          </w:tcPr>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1.隔离带主材质：不锈钢。</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2.拉带长度</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2米。</w:t>
            </w:r>
          </w:p>
          <w:p>
            <w:pPr>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3.壁厚0.5MM。</w:t>
            </w:r>
          </w:p>
          <w:p>
            <w:pPr>
              <w:spacing w:line="240" w:lineRule="auto"/>
              <w:rPr>
                <w:rFonts w:hint="eastAsia" w:ascii="仿宋_GB2312" w:hAnsi="仿宋_GB2312" w:eastAsia="仿宋_GB2312" w:cs="仿宋_GB2312"/>
                <w:color w:val="FF0000"/>
                <w:kern w:val="0"/>
                <w:szCs w:val="21"/>
              </w:rPr>
            </w:pPr>
            <w:r>
              <w:rPr>
                <w:rFonts w:hint="eastAsia" w:ascii="仿宋_GB2312" w:hAnsi="仿宋_GB2312" w:eastAsia="仿宋_GB2312" w:cs="仿宋_GB2312"/>
                <w:szCs w:val="21"/>
              </w:rPr>
              <w:t>4.是否拉伸：可伸拉。</w:t>
            </w:r>
          </w:p>
        </w:tc>
        <w:tc>
          <w:tcPr>
            <w:tcW w:w="682" w:type="dxa"/>
            <w:tcBorders>
              <w:top w:val="nil"/>
              <w:left w:val="nil"/>
              <w:bottom w:val="single" w:color="auto" w:sz="4" w:space="0"/>
              <w:right w:val="single" w:color="auto" w:sz="4" w:space="0"/>
            </w:tcBorders>
            <w:shd w:val="clear" w:color="auto" w:fill="auto"/>
            <w:vAlign w:val="center"/>
          </w:tcPr>
          <w:p>
            <w:pPr>
              <w:pStyle w:val="13"/>
              <w:spacing w:before="146" w:line="290" w:lineRule="auto"/>
              <w:ind w:right="-15"/>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lang w:val="en-US" w:bidi="ar-SA"/>
              </w:rPr>
              <w:t>套</w:t>
            </w:r>
          </w:p>
        </w:tc>
        <w:tc>
          <w:tcPr>
            <w:tcW w:w="735" w:type="dxa"/>
            <w:tcBorders>
              <w:top w:val="nil"/>
              <w:left w:val="nil"/>
              <w:bottom w:val="single" w:color="auto" w:sz="4" w:space="0"/>
              <w:right w:val="single" w:color="auto" w:sz="4" w:space="0"/>
            </w:tcBorders>
            <w:shd w:val="clear" w:color="auto" w:fill="auto"/>
            <w:vAlign w:val="center"/>
          </w:tcPr>
          <w:p>
            <w:pPr>
              <w:pStyle w:val="13"/>
              <w:spacing w:before="146" w:line="290" w:lineRule="auto"/>
              <w:ind w:right="-15"/>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lang w:val="en-US" w:bidi="ar-SA"/>
              </w:rPr>
              <w:t>4</w:t>
            </w:r>
          </w:p>
        </w:tc>
      </w:tr>
      <w:tr>
        <w:tblPrEx>
          <w:tblCellMar>
            <w:top w:w="0" w:type="dxa"/>
            <w:left w:w="108" w:type="dxa"/>
            <w:bottom w:w="0" w:type="dxa"/>
            <w:right w:w="108" w:type="dxa"/>
          </w:tblCellMar>
        </w:tblPrEx>
        <w:trPr>
          <w:gridAfter w:val="1"/>
          <w:wAfter w:w="405" w:type="dxa"/>
          <w:trHeight w:val="1098"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运维服务</w:t>
            </w:r>
          </w:p>
        </w:tc>
        <w:tc>
          <w:tcPr>
            <w:tcW w:w="552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数据上传，数据备份，客户端运行，软件升级，设备维护等服务；保障现场设备的正常运行，网络技术支持与维护，设备及系统使用过程中的技术问题诊断和解决，以及现场秩序维护和安全组织。</w:t>
            </w:r>
          </w:p>
        </w:tc>
        <w:tc>
          <w:tcPr>
            <w:tcW w:w="68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CellMar>
            <w:top w:w="0" w:type="dxa"/>
            <w:left w:w="108" w:type="dxa"/>
            <w:bottom w:w="0" w:type="dxa"/>
            <w:right w:w="108" w:type="dxa"/>
          </w:tblCellMar>
        </w:tblPrEx>
        <w:trPr>
          <w:gridAfter w:val="1"/>
          <w:wAfter w:w="405" w:type="dxa"/>
          <w:trHeight w:val="83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4"/>
                <w:rFonts w:hint="eastAsia" w:ascii="仿宋_GB2312" w:hAnsi="仿宋_GB2312" w:eastAsia="仿宋_GB2312" w:cs="仿宋_GB2312"/>
                <w:color w:val="auto"/>
              </w:rPr>
            </w:pPr>
            <w:r>
              <w:rPr>
                <w:rFonts w:hint="eastAsia" w:ascii="仿宋_GB2312" w:hAnsi="仿宋_GB2312" w:eastAsia="仿宋_GB2312" w:cs="仿宋_GB2312"/>
                <w:kern w:val="0"/>
                <w:szCs w:val="21"/>
              </w:rPr>
              <w:t>设备安装调试</w:t>
            </w:r>
          </w:p>
        </w:tc>
        <w:tc>
          <w:tcPr>
            <w:tcW w:w="552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设备布署、安装，布线工程，网络通信工程，系统设备调试。</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w:t>
            </w:r>
          </w:p>
        </w:tc>
        <w:tc>
          <w:tcPr>
            <w:tcW w:w="7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CellMar>
            <w:top w:w="0" w:type="dxa"/>
            <w:left w:w="108" w:type="dxa"/>
            <w:bottom w:w="0" w:type="dxa"/>
            <w:right w:w="108" w:type="dxa"/>
          </w:tblCellMar>
        </w:tblPrEx>
        <w:trPr>
          <w:gridAfter w:val="1"/>
          <w:wAfter w:w="405" w:type="dxa"/>
          <w:trHeight w:val="454"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Cs w:val="21"/>
              </w:rPr>
            </w:pPr>
            <w:r>
              <w:rPr>
                <w:rStyle w:val="14"/>
                <w:rFonts w:hint="eastAsia" w:ascii="仿宋_GB2312" w:hAnsi="仿宋_GB2312" w:eastAsia="仿宋_GB2312" w:cs="仿宋_GB2312"/>
                <w:color w:val="auto"/>
              </w:rPr>
              <w:t>培训实施</w:t>
            </w:r>
          </w:p>
        </w:tc>
        <w:tc>
          <w:tcPr>
            <w:tcW w:w="55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_GB2312" w:hAnsi="仿宋_GB2312" w:eastAsia="仿宋_GB2312" w:cs="仿宋_GB2312"/>
                <w:kern w:val="0"/>
                <w:szCs w:val="21"/>
              </w:rPr>
            </w:pPr>
            <w:r>
              <w:rPr>
                <w:rStyle w:val="15"/>
                <w:rFonts w:hint="eastAsia" w:ascii="仿宋_GB2312" w:hAnsi="仿宋_GB2312" w:eastAsia="仿宋_GB2312" w:cs="仿宋_GB2312"/>
                <w:color w:val="auto"/>
              </w:rPr>
              <w:t>对云安访安防管理平台及相关设备设施的操作使用进行培训。</w:t>
            </w:r>
          </w:p>
        </w:tc>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CellMar>
            <w:top w:w="0" w:type="dxa"/>
            <w:left w:w="108" w:type="dxa"/>
            <w:bottom w:w="0" w:type="dxa"/>
            <w:right w:w="108" w:type="dxa"/>
          </w:tblCellMar>
        </w:tblPrEx>
        <w:trPr>
          <w:trHeight w:val="454"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szCs w:val="21"/>
                <w:lang w:val="zh-CN"/>
              </w:rPr>
            </w:pPr>
          </w:p>
        </w:tc>
        <w:tc>
          <w:tcPr>
            <w:tcW w:w="5529"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682"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735" w:type="dxa"/>
            <w:vMerge w:val="continue"/>
            <w:tcBorders>
              <w:top w:val="nil"/>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kern w:val="0"/>
                <w:szCs w:val="21"/>
              </w:rPr>
            </w:pPr>
          </w:p>
        </w:tc>
        <w:tc>
          <w:tcPr>
            <w:tcW w:w="405" w:type="dxa"/>
            <w:tcBorders>
              <w:top w:val="nil"/>
              <w:left w:val="nil"/>
              <w:bottom w:val="nil"/>
              <w:right w:val="nil"/>
            </w:tcBorders>
            <w:shd w:val="clear" w:color="auto" w:fill="auto"/>
            <w:noWrap/>
            <w:vAlign w:val="center"/>
          </w:tcPr>
          <w:p>
            <w:pPr>
              <w:widowControl/>
              <w:jc w:val="center"/>
              <w:rPr>
                <w:rFonts w:cs="Times New Roman" w:asciiTheme="minorEastAsia" w:hAnsiTheme="minorEastAsia"/>
                <w:kern w:val="0"/>
                <w:szCs w:val="21"/>
              </w:rPr>
            </w:pPr>
          </w:p>
        </w:tc>
      </w:tr>
    </w:tbl>
    <w:p>
      <w:pPr>
        <w:spacing w:line="580" w:lineRule="exact"/>
        <w:ind w:firstLine="640" w:firstLineChars="200"/>
        <w:rPr>
          <w:rFonts w:ascii="黑体" w:hAnsi="黑体" w:eastAsia="黑体" w:cs="黑体"/>
          <w:bCs/>
          <w:color w:val="000000" w:themeColor="text1"/>
          <w:kern w:val="0"/>
          <w:sz w:val="32"/>
          <w:szCs w:val="32"/>
        </w:rPr>
      </w:pPr>
      <w:r>
        <w:rPr>
          <w:rFonts w:hint="eastAsia" w:ascii="黑体" w:hAnsi="黑体" w:eastAsia="黑体" w:cs="黑体"/>
          <w:bCs/>
          <w:color w:val="000000" w:themeColor="text1"/>
          <w:kern w:val="0"/>
          <w:sz w:val="32"/>
          <w:szCs w:val="32"/>
        </w:rPr>
        <w:t>二、实施要求</w:t>
      </w:r>
    </w:p>
    <w:p>
      <w:pPr>
        <w:spacing w:line="58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（一）签订合同后 15个自然日内，中标单位完成硬件设备的安装、系统的部署、上线及运行等相关工作。（自然日包括双休日及法定节假日，不等同于工作日；投标文件中的交货期条款为不可负偏离条款，若投标文件中响应的交货期超过招标文件规定期限时，其投标文件按投标无效处理。</w:t>
      </w:r>
      <w:r>
        <w:rPr>
          <w:rFonts w:hint="eastAsia" w:ascii="仿宋_GB2312" w:hAnsi="仿宋_GB2312" w:eastAsia="仿宋_GB2312" w:cs="仿宋_GB2312"/>
          <w:bCs/>
          <w:color w:val="000000" w:themeColor="text1"/>
          <w:sz w:val="32"/>
          <w:szCs w:val="32"/>
        </w:rPr>
        <w:br w:type="textWrapping"/>
      </w:r>
      <w:r>
        <w:rPr>
          <w:rFonts w:hint="eastAsia" w:ascii="仿宋_GB2312" w:hAnsi="仿宋_GB2312" w:eastAsia="仿宋_GB2312" w:cs="仿宋_GB2312"/>
          <w:bCs/>
          <w:color w:val="000000" w:themeColor="text1"/>
          <w:sz w:val="32"/>
          <w:szCs w:val="32"/>
        </w:rPr>
        <w:t xml:space="preserve">    （二）中标供应商应安排1名有2年以上工作经验，工作责任心强的业务经理全程跟踪本项目的开展，积极与装修建设方沟通联系。投标时应确定业务经理并提供其个人简历。</w:t>
      </w:r>
      <w:r>
        <w:rPr>
          <w:rFonts w:hint="eastAsia" w:ascii="仿宋_GB2312" w:hAnsi="仿宋_GB2312" w:eastAsia="仿宋_GB2312" w:cs="仿宋_GB2312"/>
          <w:bCs/>
          <w:color w:val="000000" w:themeColor="text1"/>
          <w:sz w:val="32"/>
          <w:szCs w:val="32"/>
        </w:rPr>
        <w:br w:type="textWrapping"/>
      </w:r>
      <w:r>
        <w:rPr>
          <w:rFonts w:hint="eastAsia" w:ascii="仿宋_GB2312" w:hAnsi="仿宋_GB2312" w:eastAsia="仿宋_GB2312" w:cs="仿宋_GB2312"/>
          <w:bCs/>
          <w:color w:val="000000" w:themeColor="text1"/>
          <w:sz w:val="32"/>
          <w:szCs w:val="32"/>
        </w:rPr>
        <w:t xml:space="preserve">    （三）由于建设单位、信息化设备供应商以及主体施工单位难免出现一些工程或货物的疏漏之处，为了全面完善整体建设工作，确保符合相关规范要求，本项目中标供应商在具体实施过程中须按照区教育局要求对相关工程和货物在中标价格2%之内无偿予以补充完善，采购人不作任何价格补偿（投标人提供承诺函，格式自拟）。</w:t>
      </w:r>
    </w:p>
    <w:p>
      <w:pPr>
        <w:spacing w:line="58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三、验收及售后服务要求</w:t>
      </w:r>
    </w:p>
    <w:p>
      <w:pPr>
        <w:spacing w:line="58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一）本项目设施设备所有功能正常运行，并经过至少1个月以上的测试运行，根据试运行情况修正错误、完善功能。在系统运行保证相对稳定后，经过市教育局至少2位使用人员签字确认使用正常，方能进入验收。</w:t>
      </w:r>
    </w:p>
    <w:p>
      <w:pPr>
        <w:spacing w:line="58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（二）项目的验收需要全部系统正常运转，不出现影响系统功能正常使用的错误。 </w:t>
      </w:r>
    </w:p>
    <w:p>
      <w:pPr>
        <w:spacing w:line="58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（三）中标单位应免费制作详细且具有可操作性的电子系统使用工作手册，同时必须组织开展实操培训，培训时间、地点、参加人员另行协商。</w:t>
      </w:r>
    </w:p>
    <w:p>
      <w:pPr>
        <w:spacing w:line="58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四）本项目验收后的免费售后服务期为1年，自验收合格之日起计算。免费售后服务包含硬件设备维护、软件升级、运行故障处理、应用咨询服务及合同约定的其他售后服务；免费售后服务的方式可根据实际情况，采用现场服务及远程支持。 </w:t>
      </w:r>
    </w:p>
    <w:p>
      <w:pPr>
        <w:spacing w:line="58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（五）生产或销售的产品符合国家、地方及行业规定的相应技术标准和环保标准。</w:t>
      </w:r>
    </w:p>
    <w:p>
      <w:pPr>
        <w:spacing w:line="58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（六）违约责任：如出现由于中标供应商原因无法按时保质完成项目，导致发生严重影响业务工作开展情况，由采购单位直接书面报告财政部门记入供应商诚信档案。</w:t>
      </w:r>
    </w:p>
    <w:p>
      <w:pPr>
        <w:spacing w:line="58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四、投标响应承诺</w:t>
      </w:r>
    </w:p>
    <w:p>
      <w:pPr>
        <w:spacing w:line="580" w:lineRule="exact"/>
        <w:ind w:firstLine="640" w:firstLineChars="200"/>
        <w:jc w:val="left"/>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供应商参与投标的，视为已完全理解和接受项目需求的所有要求，并能做出实质性响应承诺。</w:t>
      </w:r>
    </w:p>
    <w:p>
      <w:pPr>
        <w:spacing w:line="580" w:lineRule="exact"/>
        <w:jc w:val="left"/>
        <w:rPr>
          <w:b/>
          <w:color w:val="000000" w:themeColor="text1"/>
          <w:szCs w:val="21"/>
        </w:rPr>
      </w:pPr>
    </w:p>
    <w:p>
      <w:pPr>
        <w:spacing w:line="580" w:lineRule="exact"/>
        <w:jc w:val="left"/>
        <w:rPr>
          <w:b/>
          <w:color w:val="000000" w:themeColor="text1"/>
          <w:szCs w:val="21"/>
        </w:rPr>
      </w:pPr>
    </w:p>
    <w:p>
      <w:pPr>
        <w:spacing w:line="580" w:lineRule="exact"/>
        <w:jc w:val="left"/>
        <w:rPr>
          <w:b/>
          <w:color w:val="000000" w:themeColor="text1"/>
          <w:szCs w:val="21"/>
        </w:rPr>
      </w:pPr>
    </w:p>
    <w:p>
      <w:pPr>
        <w:spacing w:line="580" w:lineRule="exact"/>
        <w:jc w:val="left"/>
        <w:rPr>
          <w:b/>
          <w:color w:val="000000" w:themeColor="text1"/>
          <w:szCs w:val="21"/>
        </w:rPr>
      </w:pPr>
    </w:p>
    <w:p>
      <w:pPr>
        <w:spacing w:line="580" w:lineRule="exact"/>
        <w:jc w:val="left"/>
        <w:rPr>
          <w:b/>
          <w:color w:val="000000" w:themeColor="text1"/>
          <w:szCs w:val="21"/>
        </w:rPr>
      </w:pPr>
    </w:p>
    <w:p>
      <w:pPr>
        <w:spacing w:line="580" w:lineRule="exact"/>
        <w:jc w:val="left"/>
        <w:rPr>
          <w:b/>
          <w:color w:val="000000" w:themeColor="text1"/>
          <w:szCs w:val="21"/>
        </w:rPr>
      </w:pPr>
    </w:p>
    <w:p>
      <w:pPr>
        <w:spacing w:line="580" w:lineRule="exact"/>
        <w:jc w:val="left"/>
        <w:rPr>
          <w:b/>
          <w:color w:val="000000" w:themeColor="text1"/>
          <w:szCs w:val="21"/>
        </w:rPr>
      </w:pPr>
    </w:p>
    <w:p>
      <w:pPr>
        <w:spacing w:line="580" w:lineRule="exact"/>
        <w:jc w:val="left"/>
        <w:rPr>
          <w:b/>
          <w:color w:val="000000" w:themeColor="text1"/>
          <w:szCs w:val="21"/>
        </w:rPr>
      </w:pPr>
    </w:p>
    <w:p>
      <w:pPr>
        <w:spacing w:line="580" w:lineRule="exact"/>
        <w:jc w:val="left"/>
        <w:rPr>
          <w:b/>
          <w:color w:val="000000" w:themeColor="text1"/>
          <w:szCs w:val="21"/>
        </w:rPr>
      </w:pPr>
    </w:p>
    <w:p>
      <w:pPr>
        <w:spacing w:line="580" w:lineRule="exact"/>
        <w:jc w:val="left"/>
        <w:rPr>
          <w:b/>
          <w:color w:val="000000" w:themeColor="text1"/>
          <w:szCs w:val="21"/>
        </w:rPr>
      </w:pPr>
    </w:p>
    <w:p>
      <w:pPr>
        <w:spacing w:line="580" w:lineRule="exact"/>
        <w:jc w:val="left"/>
        <w:rPr>
          <w:b/>
          <w:color w:val="000000" w:themeColor="text1"/>
          <w:szCs w:val="21"/>
        </w:rPr>
      </w:pPr>
    </w:p>
    <w:p>
      <w:pPr>
        <w:spacing w:line="580" w:lineRule="exact"/>
        <w:jc w:val="left"/>
        <w:rPr>
          <w:rFonts w:ascii="黑体" w:hAnsi="黑体" w:eastAsia="黑体" w:cs="黑体"/>
          <w:bCs/>
          <w:color w:val="000000" w:themeColor="text1"/>
          <w:sz w:val="24"/>
          <w:szCs w:val="24"/>
        </w:rPr>
      </w:pPr>
    </w:p>
    <w:p>
      <w:pPr>
        <w:spacing w:line="580" w:lineRule="exact"/>
        <w:rPr>
          <w:rFonts w:ascii="宋体" w:hAnsi="宋体" w:cs="仿宋"/>
          <w:b/>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D1CBE"/>
    <w:rsid w:val="00015F5D"/>
    <w:rsid w:val="0006546A"/>
    <w:rsid w:val="00066B19"/>
    <w:rsid w:val="000A1047"/>
    <w:rsid w:val="001405FA"/>
    <w:rsid w:val="001927CC"/>
    <w:rsid w:val="001E60C0"/>
    <w:rsid w:val="00212A80"/>
    <w:rsid w:val="00231BC8"/>
    <w:rsid w:val="00255B35"/>
    <w:rsid w:val="002F5C79"/>
    <w:rsid w:val="002F7674"/>
    <w:rsid w:val="003A5966"/>
    <w:rsid w:val="003C3D5D"/>
    <w:rsid w:val="00413FAD"/>
    <w:rsid w:val="00441C4E"/>
    <w:rsid w:val="00454EAE"/>
    <w:rsid w:val="00460563"/>
    <w:rsid w:val="00470C52"/>
    <w:rsid w:val="004A529A"/>
    <w:rsid w:val="004C0310"/>
    <w:rsid w:val="004E1E80"/>
    <w:rsid w:val="004F2C39"/>
    <w:rsid w:val="00511A2E"/>
    <w:rsid w:val="00523A3D"/>
    <w:rsid w:val="00551F99"/>
    <w:rsid w:val="0055634C"/>
    <w:rsid w:val="00580815"/>
    <w:rsid w:val="00586CE6"/>
    <w:rsid w:val="005E5AFC"/>
    <w:rsid w:val="00636B60"/>
    <w:rsid w:val="00680B17"/>
    <w:rsid w:val="0069576C"/>
    <w:rsid w:val="006E42F8"/>
    <w:rsid w:val="00720EFD"/>
    <w:rsid w:val="00741CF5"/>
    <w:rsid w:val="007907C0"/>
    <w:rsid w:val="007D10E8"/>
    <w:rsid w:val="008709E3"/>
    <w:rsid w:val="0088096F"/>
    <w:rsid w:val="008867D9"/>
    <w:rsid w:val="008A5FDC"/>
    <w:rsid w:val="008D4965"/>
    <w:rsid w:val="008D566D"/>
    <w:rsid w:val="008F393A"/>
    <w:rsid w:val="008F52BE"/>
    <w:rsid w:val="00901F45"/>
    <w:rsid w:val="00945892"/>
    <w:rsid w:val="009851C9"/>
    <w:rsid w:val="009A6BB7"/>
    <w:rsid w:val="009C520C"/>
    <w:rsid w:val="009F63AA"/>
    <w:rsid w:val="00A077D0"/>
    <w:rsid w:val="00A34A2C"/>
    <w:rsid w:val="00A35BD4"/>
    <w:rsid w:val="00AE6F1C"/>
    <w:rsid w:val="00B064B5"/>
    <w:rsid w:val="00B11A72"/>
    <w:rsid w:val="00B167E3"/>
    <w:rsid w:val="00B178C7"/>
    <w:rsid w:val="00B26234"/>
    <w:rsid w:val="00B26262"/>
    <w:rsid w:val="00B526F0"/>
    <w:rsid w:val="00BA363C"/>
    <w:rsid w:val="00BE4ED1"/>
    <w:rsid w:val="00C33388"/>
    <w:rsid w:val="00C577A6"/>
    <w:rsid w:val="00C66179"/>
    <w:rsid w:val="00C71EB5"/>
    <w:rsid w:val="00C826FB"/>
    <w:rsid w:val="00CA2EE5"/>
    <w:rsid w:val="00CE2331"/>
    <w:rsid w:val="00D11C40"/>
    <w:rsid w:val="00D12099"/>
    <w:rsid w:val="00D14AC0"/>
    <w:rsid w:val="00D919CD"/>
    <w:rsid w:val="00DC2341"/>
    <w:rsid w:val="00E33E50"/>
    <w:rsid w:val="00E66A59"/>
    <w:rsid w:val="00E94742"/>
    <w:rsid w:val="00EC73AA"/>
    <w:rsid w:val="00F1195B"/>
    <w:rsid w:val="00F64FE9"/>
    <w:rsid w:val="00FD1CBE"/>
    <w:rsid w:val="02EE07BB"/>
    <w:rsid w:val="038E0F52"/>
    <w:rsid w:val="04A5739F"/>
    <w:rsid w:val="05883D3F"/>
    <w:rsid w:val="076B1588"/>
    <w:rsid w:val="07C515F5"/>
    <w:rsid w:val="08217A0C"/>
    <w:rsid w:val="099E055A"/>
    <w:rsid w:val="0C037C0D"/>
    <w:rsid w:val="0C1D5B7F"/>
    <w:rsid w:val="0CAF105D"/>
    <w:rsid w:val="0CB45D96"/>
    <w:rsid w:val="0E7B6DA6"/>
    <w:rsid w:val="0FAD6F0F"/>
    <w:rsid w:val="0FEE6BF8"/>
    <w:rsid w:val="11842984"/>
    <w:rsid w:val="118A46E5"/>
    <w:rsid w:val="11E074F0"/>
    <w:rsid w:val="13033E38"/>
    <w:rsid w:val="151B2790"/>
    <w:rsid w:val="16982649"/>
    <w:rsid w:val="16D37778"/>
    <w:rsid w:val="21665F00"/>
    <w:rsid w:val="247213CF"/>
    <w:rsid w:val="2506657B"/>
    <w:rsid w:val="25A9082C"/>
    <w:rsid w:val="25FA5E3F"/>
    <w:rsid w:val="277D57BF"/>
    <w:rsid w:val="27E41BC7"/>
    <w:rsid w:val="2AE46642"/>
    <w:rsid w:val="2AFE0C37"/>
    <w:rsid w:val="2C125AC8"/>
    <w:rsid w:val="2CCF1CF1"/>
    <w:rsid w:val="2DE7428C"/>
    <w:rsid w:val="2E9C62EF"/>
    <w:rsid w:val="30C928E4"/>
    <w:rsid w:val="35BA01EE"/>
    <w:rsid w:val="364F1ABB"/>
    <w:rsid w:val="37630CF7"/>
    <w:rsid w:val="39F86A6E"/>
    <w:rsid w:val="3CF175A7"/>
    <w:rsid w:val="3D9262D6"/>
    <w:rsid w:val="3F2F7EE5"/>
    <w:rsid w:val="3F51533B"/>
    <w:rsid w:val="411A631F"/>
    <w:rsid w:val="414443A0"/>
    <w:rsid w:val="43E67751"/>
    <w:rsid w:val="44EC07E4"/>
    <w:rsid w:val="46B82B14"/>
    <w:rsid w:val="47760D47"/>
    <w:rsid w:val="497F0561"/>
    <w:rsid w:val="4B883330"/>
    <w:rsid w:val="4BDC528E"/>
    <w:rsid w:val="4D670ED1"/>
    <w:rsid w:val="4E0E6D29"/>
    <w:rsid w:val="4E6435EA"/>
    <w:rsid w:val="4EFB0FD5"/>
    <w:rsid w:val="501E1F63"/>
    <w:rsid w:val="52537C80"/>
    <w:rsid w:val="53440AD8"/>
    <w:rsid w:val="54732DAC"/>
    <w:rsid w:val="56D53397"/>
    <w:rsid w:val="5A795CC4"/>
    <w:rsid w:val="5B0C7DB6"/>
    <w:rsid w:val="5CF72E9C"/>
    <w:rsid w:val="5E021411"/>
    <w:rsid w:val="61EB0FEF"/>
    <w:rsid w:val="64F34E42"/>
    <w:rsid w:val="66FB209A"/>
    <w:rsid w:val="6D343F3D"/>
    <w:rsid w:val="72EF557A"/>
    <w:rsid w:val="75432139"/>
    <w:rsid w:val="780F777D"/>
    <w:rsid w:val="7BE403C7"/>
    <w:rsid w:val="7D657515"/>
    <w:rsid w:val="7F85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line="360" w:lineRule="auto"/>
      <w:jc w:val="left"/>
    </w:pPr>
    <w:rPr>
      <w:rFonts w:ascii="Calibri" w:hAnsi="Calibri" w:eastAsia="宋体" w:cs="Times New Roman"/>
      <w:kern w:val="0"/>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customStyle="1" w:styleId="13">
    <w:name w:val="Table Paragraph"/>
    <w:basedOn w:val="1"/>
    <w:qFormat/>
    <w:uiPriority w:val="1"/>
    <w:rPr>
      <w:rFonts w:ascii="宋体" w:hAnsi="宋体" w:eastAsia="宋体" w:cs="宋体"/>
      <w:lang w:val="zh-CN" w:bidi="zh-CN"/>
    </w:rPr>
  </w:style>
  <w:style w:type="character" w:customStyle="1" w:styleId="14">
    <w:name w:val="font21"/>
    <w:qFormat/>
    <w:uiPriority w:val="0"/>
    <w:rPr>
      <w:rFonts w:hint="eastAsia" w:ascii="宋体" w:hAnsi="宋体" w:eastAsia="宋体" w:cs="宋体"/>
      <w:color w:val="000000"/>
      <w:sz w:val="21"/>
      <w:szCs w:val="21"/>
      <w:u w:val="none"/>
    </w:rPr>
  </w:style>
  <w:style w:type="character" w:customStyle="1" w:styleId="15">
    <w:name w:val="font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E0C6D-FC6D-4D35-A5C7-0FC219E5FAA4}">
  <ds:schemaRefs/>
</ds:datastoreItem>
</file>

<file path=docProps/app.xml><?xml version="1.0" encoding="utf-8"?>
<Properties xmlns="http://schemas.openxmlformats.org/officeDocument/2006/extended-properties" xmlns:vt="http://schemas.openxmlformats.org/officeDocument/2006/docPropsVTypes">
  <Template>Normal</Template>
  <Pages>1</Pages>
  <Words>541</Words>
  <Characters>3084</Characters>
  <Lines>25</Lines>
  <Paragraphs>7</Paragraphs>
  <TotalTime>6</TotalTime>
  <ScaleCrop>false</ScaleCrop>
  <LinksUpToDate>false</LinksUpToDate>
  <CharactersWithSpaces>3618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2021-02-25T07:50:00Z</dcterms:created>
  <dc:creator>庆 王</dc:creator>
  <cp:lastModifiedBy>Kevin </cp:lastModifiedBy>
  <cp:lastPrinted>2020-10-26T07:33:00Z</cp:lastPrinted>
  <dcterms:modified xsi:type="dcterms:W3CDTF">2021-03-04T07:57:55Z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