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before="156" w:beforeLines="50" w:after="156" w:afterLines="50" w:line="580" w:lineRule="exact"/>
        <w:ind w:firstLine="0" w:firstLineChars="0"/>
        <w:textAlignment w:val="auto"/>
        <w:rPr>
          <w:rFonts w:hint="eastAsia" w:ascii="宋体" w:hAnsi="宋体"/>
          <w:sz w:val="28"/>
          <w:szCs w:val="28"/>
        </w:rPr>
      </w:pPr>
      <w:r>
        <w:rPr>
          <w:rFonts w:hint="eastAsia" w:ascii="宋体" w:hAnsi="宋体"/>
          <w:b/>
          <w:sz w:val="28"/>
          <w:szCs w:val="28"/>
        </w:rPr>
        <w:t>评标方法:</w:t>
      </w:r>
      <w:r>
        <w:rPr>
          <w:rFonts w:hint="eastAsia" w:ascii="宋体" w:hAnsi="宋体"/>
          <w:sz w:val="28"/>
          <w:szCs w:val="28"/>
        </w:rPr>
        <w:t>综合评分法，潜在投标人≥3家。</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507"/>
        <w:gridCol w:w="960"/>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85"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序号</w:t>
            </w:r>
          </w:p>
        </w:tc>
        <w:tc>
          <w:tcPr>
            <w:tcW w:w="1507"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评分因素</w:t>
            </w:r>
          </w:p>
        </w:tc>
        <w:tc>
          <w:tcPr>
            <w:tcW w:w="960"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分值</w:t>
            </w:r>
          </w:p>
        </w:tc>
        <w:tc>
          <w:tcPr>
            <w:tcW w:w="5303"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tcBorders>
              <w:bottom w:val="single" w:color="auto" w:sz="4" w:space="0"/>
            </w:tcBorders>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一</w:t>
            </w:r>
          </w:p>
        </w:tc>
        <w:tc>
          <w:tcPr>
            <w:tcW w:w="1507" w:type="dxa"/>
            <w:tcBorders>
              <w:bottom w:val="single" w:color="auto" w:sz="4" w:space="0"/>
            </w:tcBorders>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投标报价</w:t>
            </w:r>
          </w:p>
        </w:tc>
        <w:tc>
          <w:tcPr>
            <w:tcW w:w="960" w:type="dxa"/>
            <w:tcBorders>
              <w:bottom w:val="single" w:color="auto" w:sz="4" w:space="0"/>
            </w:tcBorders>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color w:val="FF0000"/>
                <w:sz w:val="24"/>
              </w:rPr>
            </w:pPr>
            <w:r>
              <w:rPr>
                <w:rFonts w:hint="eastAsia" w:ascii="宋体" w:hAnsi="宋体"/>
                <w:sz w:val="24"/>
              </w:rPr>
              <w:t>20</w:t>
            </w:r>
          </w:p>
        </w:tc>
        <w:tc>
          <w:tcPr>
            <w:tcW w:w="5303" w:type="dxa"/>
            <w:tcBorders>
              <w:bottom w:val="single" w:color="auto" w:sz="4" w:space="0"/>
            </w:tcBorders>
            <w:noWrap w:val="0"/>
            <w:vAlign w:val="center"/>
          </w:tcPr>
          <w:p>
            <w:pPr>
              <w:keepNext w:val="0"/>
              <w:keepLines w:val="0"/>
              <w:pageBreakBefore w:val="0"/>
              <w:kinsoku/>
              <w:overflowPunct/>
              <w:topLinePunct w:val="0"/>
              <w:bidi w:val="0"/>
              <w:snapToGrid/>
              <w:spacing w:line="580" w:lineRule="exact"/>
              <w:ind w:firstLine="0" w:firstLineChars="0"/>
              <w:textAlignment w:val="auto"/>
              <w:rPr>
                <w:rFonts w:hint="eastAsia"/>
                <w:szCs w:val="21"/>
              </w:rPr>
            </w:pPr>
            <w:r>
              <w:rPr>
                <w:rFonts w:hint="eastAsia"/>
                <w:szCs w:val="21"/>
              </w:rPr>
              <w:t>投标报价价格分=（评标基准价/投标报价）×20。</w:t>
            </w:r>
          </w:p>
          <w:p>
            <w:pPr>
              <w:keepNext w:val="0"/>
              <w:keepLines w:val="0"/>
              <w:pageBreakBefore w:val="0"/>
              <w:kinsoku/>
              <w:overflowPunct/>
              <w:topLinePunct w:val="0"/>
              <w:bidi w:val="0"/>
              <w:snapToGrid/>
              <w:spacing w:line="580" w:lineRule="exact"/>
              <w:ind w:firstLine="0" w:firstLineChars="0"/>
              <w:textAlignment w:val="auto"/>
              <w:rPr>
                <w:rFonts w:hint="eastAsia"/>
                <w:szCs w:val="21"/>
              </w:rPr>
            </w:pPr>
            <w:r>
              <w:rPr>
                <w:rFonts w:hint="eastAsia"/>
                <w:szCs w:val="21"/>
              </w:rPr>
              <w:t>评标基准价为所有有效供应商最低报价。</w:t>
            </w:r>
          </w:p>
          <w:p>
            <w:pPr>
              <w:keepNext w:val="0"/>
              <w:keepLines w:val="0"/>
              <w:pageBreakBefore w:val="0"/>
              <w:kinsoku/>
              <w:overflowPunct/>
              <w:topLinePunct w:val="0"/>
              <w:bidi w:val="0"/>
              <w:snapToGrid/>
              <w:spacing w:line="580" w:lineRule="exact"/>
              <w:ind w:firstLine="0" w:firstLineChars="0"/>
              <w:textAlignment w:val="auto"/>
              <w:rPr>
                <w:rFonts w:hint="eastAsia"/>
                <w:szCs w:val="21"/>
              </w:rPr>
            </w:pPr>
            <w:r>
              <w:rPr>
                <w:rFonts w:hint="eastAsia"/>
                <w:szCs w:val="21"/>
              </w:rPr>
              <w:t>投标人的报价明显低于其他通过符合性审查投标人的报价，评标委员会认为有可能影响服务质量或者不能诚信履约的，投标人需提供报价合理性说明。投标人补充的书面说明或提供的证明材料仍不能证明其报价合理性的，评标委员会应当做出投标无效认定，不得以扣减得分等方式保留投标人的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二</w:t>
            </w:r>
          </w:p>
        </w:tc>
        <w:tc>
          <w:tcPr>
            <w:tcW w:w="1507"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技术服务</w:t>
            </w:r>
          </w:p>
        </w:tc>
        <w:tc>
          <w:tcPr>
            <w:tcW w:w="960"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hint="eastAsia" w:ascii="宋体" w:hAnsi="宋体"/>
                <w:color w:val="FF0000"/>
                <w:sz w:val="28"/>
                <w:szCs w:val="28"/>
                <w:highlight w:val="yellow"/>
              </w:rPr>
            </w:pPr>
            <w:r>
              <w:rPr>
                <w:rFonts w:hint="eastAsia" w:ascii="宋体" w:hAnsi="宋体"/>
                <w:sz w:val="24"/>
              </w:rPr>
              <w:t>40</w:t>
            </w:r>
          </w:p>
        </w:tc>
        <w:tc>
          <w:tcPr>
            <w:tcW w:w="5303" w:type="dxa"/>
            <w:noWrap w:val="0"/>
            <w:vAlign w:val="center"/>
          </w:tcPr>
          <w:p>
            <w:pPr>
              <w:keepNext w:val="0"/>
              <w:keepLines w:val="0"/>
              <w:pageBreakBefore w:val="0"/>
              <w:kinsoku/>
              <w:overflowPunct/>
              <w:topLinePunct w:val="0"/>
              <w:bidi w:val="0"/>
              <w:snapToGrid/>
              <w:spacing w:line="580" w:lineRule="exact"/>
              <w:ind w:firstLine="0" w:firstLineChars="0"/>
              <w:jc w:val="left"/>
              <w:textAlignment w:val="auto"/>
              <w:rPr>
                <w:rFonts w:ascii="宋体" w:hAnsi="宋体"/>
                <w:b/>
                <w:bCs/>
                <w:color w:val="000000"/>
                <w:szCs w:val="21"/>
              </w:rPr>
            </w:pPr>
            <w:r>
              <w:rPr>
                <w:rFonts w:hint="eastAsia" w:ascii="宋体" w:hAnsi="宋体" w:eastAsia="宋体" w:cs="Times New Roman"/>
                <w:b/>
                <w:bCs/>
                <w:color w:val="000000"/>
                <w:szCs w:val="21"/>
              </w:rPr>
              <w:t>一、服务方案（项目实施组织方案、工作流程、项目实施中沟通协调处理机制、检测的规范标准、内容、方法）（</w:t>
            </w:r>
            <w:r>
              <w:rPr>
                <w:rFonts w:hint="eastAsia" w:ascii="宋体" w:hAnsi="宋体" w:eastAsia="宋体" w:cs="Times New Roman"/>
                <w:b/>
                <w:bCs/>
                <w:color w:val="000000"/>
                <w:szCs w:val="21"/>
                <w:lang w:val="en-US" w:eastAsia="zh-CN"/>
              </w:rPr>
              <w:t>20</w:t>
            </w:r>
            <w:r>
              <w:rPr>
                <w:rFonts w:hint="eastAsia" w:ascii="宋体" w:hAnsi="宋体" w:eastAsia="宋体" w:cs="Times New Roman"/>
                <w:b/>
                <w:bCs/>
                <w:color w:val="000000"/>
                <w:szCs w:val="21"/>
              </w:rPr>
              <w:t>分</w:t>
            </w:r>
            <w:r>
              <w:rPr>
                <w:rFonts w:hint="eastAsia" w:ascii="宋体" w:hAnsi="宋体"/>
                <w:b/>
                <w:bCs/>
                <w:color w:val="000000"/>
                <w:szCs w:val="21"/>
              </w:rPr>
              <w:t>）</w:t>
            </w:r>
          </w:p>
          <w:p>
            <w:pPr>
              <w:keepNext w:val="0"/>
              <w:keepLines w:val="0"/>
              <w:pageBreakBefore w:val="0"/>
              <w:kinsoku/>
              <w:wordWrap w:val="0"/>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（一）评审内容：</w:t>
            </w:r>
          </w:p>
          <w:p>
            <w:pPr>
              <w:keepNext w:val="0"/>
              <w:keepLines w:val="0"/>
              <w:pageBreakBefore w:val="0"/>
              <w:kinsoku/>
              <w:wordWrap w:val="0"/>
              <w:overflowPunct/>
              <w:topLinePunct w:val="0"/>
              <w:bidi w:val="0"/>
              <w:snapToGrid/>
              <w:spacing w:line="580" w:lineRule="exact"/>
              <w:ind w:firstLine="0" w:firstLineChars="0"/>
              <w:jc w:val="left"/>
              <w:textAlignment w:val="auto"/>
              <w:rPr>
                <w:rFonts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szCs w:val="21"/>
              </w:rPr>
              <w:t>项目实施组织方案</w:t>
            </w:r>
            <w:r>
              <w:rPr>
                <w:rFonts w:ascii="宋体" w:hAnsi="宋体"/>
                <w:szCs w:val="21"/>
              </w:rPr>
              <w:t>；</w:t>
            </w:r>
          </w:p>
          <w:p>
            <w:pPr>
              <w:keepNext w:val="0"/>
              <w:keepLines w:val="0"/>
              <w:pageBreakBefore w:val="0"/>
              <w:kinsoku/>
              <w:wordWrap w:val="0"/>
              <w:overflowPunct/>
              <w:topLinePunct w:val="0"/>
              <w:bidi w:val="0"/>
              <w:snapToGrid/>
              <w:spacing w:line="580" w:lineRule="exact"/>
              <w:ind w:firstLine="0" w:firstLineChars="0"/>
              <w:jc w:val="left"/>
              <w:textAlignment w:val="auto"/>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szCs w:val="21"/>
              </w:rPr>
              <w:t>工作流程</w:t>
            </w:r>
            <w:r>
              <w:rPr>
                <w:rFonts w:ascii="宋体" w:hAnsi="宋体"/>
                <w:szCs w:val="21"/>
              </w:rPr>
              <w:t>；</w:t>
            </w:r>
          </w:p>
          <w:p>
            <w:pPr>
              <w:keepNext w:val="0"/>
              <w:keepLines w:val="0"/>
              <w:pageBreakBefore w:val="0"/>
              <w:kinsoku/>
              <w:wordWrap w:val="0"/>
              <w:overflowPunct/>
              <w:topLinePunct w:val="0"/>
              <w:bidi w:val="0"/>
              <w:snapToGrid/>
              <w:spacing w:line="580" w:lineRule="exact"/>
              <w:ind w:firstLine="0" w:firstLineChars="0"/>
              <w:jc w:val="left"/>
              <w:textAlignment w:val="auto"/>
              <w:rPr>
                <w:rFonts w:hint="eastAsia" w:ascii="宋体" w:hAnsi="宋体"/>
                <w:szCs w:val="21"/>
                <w:lang w:eastAsia="zh-CN"/>
              </w:rPr>
            </w:pPr>
            <w:r>
              <w:rPr>
                <w:rFonts w:ascii="宋体" w:hAnsi="宋体"/>
                <w:szCs w:val="21"/>
              </w:rPr>
              <w:t>（</w:t>
            </w:r>
            <w:r>
              <w:rPr>
                <w:rFonts w:hint="eastAsia" w:ascii="宋体" w:hAnsi="宋体"/>
                <w:szCs w:val="21"/>
              </w:rPr>
              <w:t>3</w:t>
            </w:r>
            <w:r>
              <w:rPr>
                <w:rFonts w:ascii="宋体" w:hAnsi="宋体"/>
                <w:szCs w:val="21"/>
              </w:rPr>
              <w:t>）</w:t>
            </w:r>
            <w:r>
              <w:rPr>
                <w:rFonts w:hint="eastAsia"/>
                <w:szCs w:val="21"/>
              </w:rPr>
              <w:t>项目实施中沟通协调处理机制</w:t>
            </w:r>
            <w:r>
              <w:rPr>
                <w:rFonts w:hint="eastAsia" w:ascii="宋体" w:hAnsi="宋体"/>
                <w:szCs w:val="21"/>
                <w:lang w:eastAsia="zh-CN"/>
              </w:rPr>
              <w:t>；</w:t>
            </w:r>
          </w:p>
          <w:p>
            <w:pPr>
              <w:pStyle w:val="2"/>
              <w:keepNext w:val="0"/>
              <w:keepLines w:val="0"/>
              <w:pageBreakBefore w:val="0"/>
              <w:kinsoku/>
              <w:overflowPunct/>
              <w:topLinePunct w:val="0"/>
              <w:bidi w:val="0"/>
              <w:snapToGrid/>
              <w:spacing w:line="580" w:lineRule="exact"/>
              <w:ind w:firstLine="0" w:firstLineChars="0"/>
              <w:textAlignment w:val="auto"/>
              <w:rPr>
                <w:rFonts w:hint="eastAsia" w:eastAsia="宋体"/>
                <w:lang w:eastAsia="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szCs w:val="21"/>
              </w:rPr>
              <w:t>检测的规范标准、内容、方法</w:t>
            </w:r>
            <w:r>
              <w:rPr>
                <w:rFonts w:hint="eastAsia"/>
                <w:szCs w:val="21"/>
                <w:lang w:eastAsia="zh-CN"/>
              </w:rPr>
              <w:t>。</w:t>
            </w:r>
          </w:p>
          <w:p>
            <w:pPr>
              <w:keepNext w:val="0"/>
              <w:keepLines w:val="0"/>
              <w:pageBreakBefore w:val="0"/>
              <w:kinsoku/>
              <w:wordWrap w:val="0"/>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（二）评分依据：</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1.具备</w:t>
            </w:r>
            <w:r>
              <w:rPr>
                <w:rFonts w:ascii="宋体" w:hAnsi="宋体"/>
                <w:szCs w:val="21"/>
              </w:rPr>
              <w:t>上述</w:t>
            </w:r>
            <w:r>
              <w:rPr>
                <w:rFonts w:hint="eastAsia" w:ascii="宋体" w:hAnsi="宋体"/>
                <w:szCs w:val="21"/>
                <w:lang w:val="en-US" w:eastAsia="zh-CN"/>
              </w:rPr>
              <w:t>4</w:t>
            </w:r>
            <w:r>
              <w:rPr>
                <w:rFonts w:ascii="宋体" w:hAnsi="宋体"/>
                <w:szCs w:val="21"/>
              </w:rPr>
              <w:t>项内容</w:t>
            </w:r>
            <w:r>
              <w:rPr>
                <w:rFonts w:hint="eastAsia" w:ascii="宋体" w:hAnsi="宋体"/>
                <w:szCs w:val="21"/>
              </w:rPr>
              <w:t>，</w:t>
            </w:r>
            <w:r>
              <w:rPr>
                <w:rFonts w:ascii="宋体" w:hAnsi="宋体"/>
                <w:szCs w:val="21"/>
              </w:rPr>
              <w:t>得7</w:t>
            </w:r>
            <w:r>
              <w:rPr>
                <w:rFonts w:hint="eastAsia" w:ascii="宋体" w:hAnsi="宋体"/>
                <w:szCs w:val="21"/>
              </w:rPr>
              <w:t>0％分。在此基础上，评为优的，加分</w:t>
            </w:r>
            <w:r>
              <w:rPr>
                <w:rFonts w:ascii="宋体" w:hAnsi="宋体"/>
                <w:szCs w:val="21"/>
              </w:rPr>
              <w:t>3</w:t>
            </w:r>
            <w:r>
              <w:rPr>
                <w:rFonts w:hint="eastAsia" w:ascii="宋体" w:hAnsi="宋体"/>
                <w:szCs w:val="21"/>
              </w:rPr>
              <w:t>0%；评为良的，加分</w:t>
            </w:r>
            <w:r>
              <w:rPr>
                <w:rFonts w:ascii="宋体" w:hAnsi="宋体"/>
                <w:szCs w:val="21"/>
              </w:rPr>
              <w:t>2</w:t>
            </w:r>
            <w:r>
              <w:rPr>
                <w:rFonts w:hint="eastAsia" w:ascii="宋体" w:hAnsi="宋体"/>
                <w:szCs w:val="21"/>
              </w:rPr>
              <w:t>0%；评为中的，加分</w:t>
            </w:r>
            <w:r>
              <w:rPr>
                <w:rFonts w:ascii="宋体" w:hAnsi="宋体"/>
                <w:szCs w:val="21"/>
              </w:rPr>
              <w:t>1</w:t>
            </w:r>
            <w:r>
              <w:rPr>
                <w:rFonts w:hint="eastAsia" w:ascii="宋体" w:hAnsi="宋体"/>
                <w:szCs w:val="21"/>
              </w:rPr>
              <w:t>0%；评为差的，不得分。</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优评分标准：内容全面、合理、切实可行</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良评分标准：内容较全面、较合理</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中评分标准：内容全面性、合理性一般</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差评分标准：内容全面性、合理性较差</w:t>
            </w:r>
          </w:p>
          <w:p>
            <w:pPr>
              <w:keepNext w:val="0"/>
              <w:keepLines w:val="0"/>
              <w:pageBreakBefore w:val="0"/>
              <w:kinsoku/>
              <w:overflowPunct/>
              <w:topLinePunct w:val="0"/>
              <w:bidi w:val="0"/>
              <w:snapToGrid/>
              <w:spacing w:line="580" w:lineRule="exact"/>
              <w:ind w:firstLine="0" w:firstLineChars="0"/>
              <w:textAlignment w:val="auto"/>
              <w:rPr>
                <w:rFonts w:ascii="宋体" w:hAnsi="宋体"/>
                <w:szCs w:val="21"/>
              </w:rPr>
            </w:pPr>
            <w:r>
              <w:rPr>
                <w:rFonts w:hint="eastAsia" w:ascii="宋体" w:hAnsi="宋体"/>
                <w:szCs w:val="21"/>
              </w:rPr>
              <w:t>2.以上</w:t>
            </w:r>
            <w:r>
              <w:rPr>
                <w:rFonts w:hint="eastAsia" w:ascii="宋体" w:hAnsi="宋体"/>
                <w:szCs w:val="21"/>
                <w:lang w:val="en-US" w:eastAsia="zh-CN"/>
              </w:rPr>
              <w:t>4</w:t>
            </w:r>
            <w:r>
              <w:rPr>
                <w:rFonts w:hint="eastAsia" w:ascii="宋体" w:hAnsi="宋体"/>
                <w:szCs w:val="21"/>
              </w:rPr>
              <w:t>项内容不齐全，或内容不完整的，不得分。</w:t>
            </w:r>
          </w:p>
          <w:p>
            <w:pPr>
              <w:keepNext w:val="0"/>
              <w:keepLines w:val="0"/>
              <w:pageBreakBefore w:val="0"/>
              <w:kinsoku/>
              <w:overflowPunct/>
              <w:topLinePunct w:val="0"/>
              <w:bidi w:val="0"/>
              <w:snapToGrid/>
              <w:spacing w:line="580" w:lineRule="exact"/>
              <w:ind w:firstLine="0" w:firstLineChars="0"/>
              <w:textAlignment w:val="auto"/>
              <w:rPr>
                <w:rFonts w:hint="eastAsia" w:ascii="宋体" w:hAnsi="宋体"/>
                <w:b/>
                <w:bCs/>
                <w:color w:val="000000"/>
                <w:szCs w:val="21"/>
              </w:rPr>
            </w:pPr>
            <w:r>
              <w:rPr>
                <w:rFonts w:hint="eastAsia" w:ascii="宋体" w:hAnsi="宋体"/>
                <w:b/>
                <w:bCs/>
                <w:color w:val="000000"/>
                <w:szCs w:val="21"/>
              </w:rPr>
              <w:t>二</w:t>
            </w:r>
            <w:r>
              <w:rPr>
                <w:rFonts w:hint="eastAsia" w:ascii="宋体" w:hAnsi="宋体" w:eastAsia="宋体" w:cs="Times New Roman"/>
                <w:b/>
                <w:bCs/>
                <w:color w:val="000000"/>
                <w:szCs w:val="21"/>
              </w:rPr>
              <w:t>、项目重难点分析与应对措施（</w:t>
            </w:r>
            <w:r>
              <w:rPr>
                <w:rFonts w:hint="eastAsia" w:ascii="宋体" w:hAnsi="宋体" w:eastAsia="宋体" w:cs="Times New Roman"/>
                <w:b/>
                <w:bCs/>
                <w:color w:val="000000"/>
                <w:szCs w:val="21"/>
                <w:lang w:eastAsia="zh-CN"/>
              </w:rPr>
              <w:t>2</w:t>
            </w:r>
            <w:r>
              <w:rPr>
                <w:rFonts w:hint="eastAsia" w:ascii="宋体" w:hAnsi="宋体" w:eastAsia="宋体" w:cs="Times New Roman"/>
                <w:b/>
                <w:bCs/>
                <w:color w:val="000000"/>
                <w:szCs w:val="21"/>
                <w:lang w:val="en-US" w:eastAsia="zh-CN"/>
              </w:rPr>
              <w:t>0</w:t>
            </w:r>
            <w:r>
              <w:rPr>
                <w:rFonts w:hint="eastAsia" w:ascii="宋体" w:hAnsi="宋体"/>
                <w:b/>
                <w:bCs/>
                <w:color w:val="000000"/>
                <w:szCs w:val="21"/>
              </w:rPr>
              <w:t>分）</w:t>
            </w:r>
          </w:p>
          <w:p>
            <w:pPr>
              <w:keepNext w:val="0"/>
              <w:keepLines w:val="0"/>
              <w:pageBreakBefore w:val="0"/>
              <w:kinsoku/>
              <w:overflowPunct/>
              <w:topLinePunct w:val="0"/>
              <w:bidi w:val="0"/>
              <w:snapToGrid/>
              <w:spacing w:line="580" w:lineRule="exact"/>
              <w:ind w:firstLine="0" w:firstLineChars="0"/>
              <w:textAlignment w:val="auto"/>
              <w:rPr>
                <w:rFonts w:ascii="宋体" w:hAnsi="宋体"/>
                <w:szCs w:val="21"/>
              </w:rPr>
            </w:pPr>
            <w:r>
              <w:rPr>
                <w:rFonts w:hint="eastAsia" w:ascii="宋体" w:hAnsi="宋体"/>
                <w:szCs w:val="21"/>
              </w:rPr>
              <w:t>（一）评审内容：</w:t>
            </w:r>
          </w:p>
          <w:p>
            <w:pPr>
              <w:keepNext w:val="0"/>
              <w:keepLines w:val="0"/>
              <w:pageBreakBefore w:val="0"/>
              <w:kinsoku/>
              <w:wordWrap/>
              <w:overflowPunct/>
              <w:topLinePunct w:val="0"/>
              <w:bidi w:val="0"/>
              <w:snapToGrid/>
              <w:spacing w:line="580" w:lineRule="exact"/>
              <w:ind w:firstLine="0" w:firstLineChars="0"/>
              <w:jc w:val="left"/>
              <w:textAlignment w:val="auto"/>
              <w:rPr>
                <w:rFonts w:ascii="宋体" w:hAnsi="宋体"/>
                <w:szCs w:val="21"/>
              </w:rPr>
            </w:pPr>
            <w:r>
              <w:rPr>
                <w:rFonts w:hint="eastAsia"/>
                <w:szCs w:val="21"/>
              </w:rPr>
              <w:t>投标人须对本项目采购内容在实施过程中的重点、难点问题进行分析并给出科学合理的建议及解决方案，可从房屋检测原因入手（如周边房屋检测的重难点分析与应对措施）</w:t>
            </w:r>
            <w:r>
              <w:rPr>
                <w:rFonts w:ascii="宋体" w:hAnsi="宋体"/>
                <w:szCs w:val="21"/>
              </w:rPr>
              <w:t>。</w:t>
            </w:r>
          </w:p>
          <w:p>
            <w:pPr>
              <w:keepNext w:val="0"/>
              <w:keepLines w:val="0"/>
              <w:pageBreakBefore w:val="0"/>
              <w:kinsoku/>
              <w:wordWrap w:val="0"/>
              <w:overflowPunct/>
              <w:topLinePunct w:val="0"/>
              <w:bidi w:val="0"/>
              <w:snapToGrid/>
              <w:spacing w:line="580" w:lineRule="exact"/>
              <w:ind w:firstLine="0" w:firstLineChars="0"/>
              <w:jc w:val="left"/>
              <w:textAlignment w:val="auto"/>
              <w:rPr>
                <w:rFonts w:hint="eastAsia" w:ascii="宋体" w:hAnsi="宋体"/>
                <w:szCs w:val="21"/>
              </w:rPr>
            </w:pPr>
          </w:p>
          <w:p>
            <w:pPr>
              <w:keepNext w:val="0"/>
              <w:keepLines w:val="0"/>
              <w:pageBreakBefore w:val="0"/>
              <w:kinsoku/>
              <w:wordWrap w:val="0"/>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（二）评分依据：</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1.具备</w:t>
            </w:r>
            <w:r>
              <w:rPr>
                <w:rFonts w:ascii="宋体" w:hAnsi="宋体"/>
                <w:szCs w:val="21"/>
              </w:rPr>
              <w:t>上述内容</w:t>
            </w:r>
            <w:r>
              <w:rPr>
                <w:rFonts w:hint="eastAsia" w:ascii="宋体" w:hAnsi="宋体"/>
                <w:szCs w:val="21"/>
              </w:rPr>
              <w:t>，</w:t>
            </w:r>
            <w:r>
              <w:rPr>
                <w:rFonts w:ascii="宋体" w:hAnsi="宋体"/>
                <w:szCs w:val="21"/>
              </w:rPr>
              <w:t>得7</w:t>
            </w:r>
            <w:r>
              <w:rPr>
                <w:rFonts w:hint="eastAsia" w:ascii="宋体" w:hAnsi="宋体"/>
                <w:szCs w:val="21"/>
              </w:rPr>
              <w:t>0％分。在此基础上，评为优的，加分</w:t>
            </w:r>
            <w:r>
              <w:rPr>
                <w:rFonts w:ascii="宋体" w:hAnsi="宋体"/>
                <w:szCs w:val="21"/>
              </w:rPr>
              <w:t>3</w:t>
            </w:r>
            <w:r>
              <w:rPr>
                <w:rFonts w:hint="eastAsia" w:ascii="宋体" w:hAnsi="宋体"/>
                <w:szCs w:val="21"/>
              </w:rPr>
              <w:t>0%；评为良的，加分</w:t>
            </w:r>
            <w:r>
              <w:rPr>
                <w:rFonts w:ascii="宋体" w:hAnsi="宋体"/>
                <w:szCs w:val="21"/>
              </w:rPr>
              <w:t>2</w:t>
            </w:r>
            <w:r>
              <w:rPr>
                <w:rFonts w:hint="eastAsia" w:ascii="宋体" w:hAnsi="宋体"/>
                <w:szCs w:val="21"/>
              </w:rPr>
              <w:t>0%；评为中的，加分</w:t>
            </w:r>
            <w:r>
              <w:rPr>
                <w:rFonts w:ascii="宋体" w:hAnsi="宋体"/>
                <w:szCs w:val="21"/>
              </w:rPr>
              <w:t>1</w:t>
            </w:r>
            <w:r>
              <w:rPr>
                <w:rFonts w:hint="eastAsia" w:ascii="宋体" w:hAnsi="宋体"/>
                <w:szCs w:val="21"/>
              </w:rPr>
              <w:t>0%；评为差的，不得分。</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优评分标准：内容全面、合理、切实可行</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良评分标准：内容较全面、较合理</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中评分标准：内容全面性、合理性一般</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差评分标准：内容全面性、合理性较差</w:t>
            </w:r>
          </w:p>
          <w:p>
            <w:pPr>
              <w:keepNext w:val="0"/>
              <w:keepLines w:val="0"/>
              <w:pageBreakBefore w:val="0"/>
              <w:kinsoku/>
              <w:overflowPunct/>
              <w:topLinePunct w:val="0"/>
              <w:bidi w:val="0"/>
              <w:snapToGrid/>
              <w:spacing w:line="580" w:lineRule="exact"/>
              <w:ind w:firstLine="0" w:firstLineChars="0"/>
              <w:textAlignment w:val="auto"/>
              <w:rPr>
                <w:rFonts w:hint="eastAsia" w:ascii="宋体" w:hAnsi="宋体"/>
                <w:sz w:val="24"/>
              </w:rPr>
            </w:pPr>
            <w:r>
              <w:rPr>
                <w:rFonts w:hint="eastAsia" w:ascii="宋体" w:hAnsi="宋体"/>
                <w:szCs w:val="21"/>
              </w:rPr>
              <w:t>2.以上</w:t>
            </w:r>
            <w:r>
              <w:rPr>
                <w:rFonts w:ascii="宋体" w:hAnsi="宋体"/>
                <w:szCs w:val="21"/>
              </w:rPr>
              <w:t>2</w:t>
            </w:r>
            <w:r>
              <w:rPr>
                <w:rFonts w:hint="eastAsia" w:ascii="宋体" w:hAnsi="宋体"/>
                <w:szCs w:val="21"/>
              </w:rPr>
              <w:t>项内容不齐全，或内容不完整的，不得分。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三</w:t>
            </w:r>
          </w:p>
        </w:tc>
        <w:tc>
          <w:tcPr>
            <w:tcW w:w="1507"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color w:val="FF0000"/>
                <w:sz w:val="24"/>
              </w:rPr>
            </w:pPr>
            <w:r>
              <w:rPr>
                <w:rFonts w:hint="eastAsia" w:ascii="宋体" w:hAnsi="宋体"/>
                <w:sz w:val="24"/>
              </w:rPr>
              <w:t>综合实力</w:t>
            </w:r>
          </w:p>
        </w:tc>
        <w:tc>
          <w:tcPr>
            <w:tcW w:w="960" w:type="dxa"/>
            <w:noWrap w:val="0"/>
            <w:vAlign w:val="center"/>
          </w:tcPr>
          <w:p>
            <w:pPr>
              <w:keepNext w:val="0"/>
              <w:keepLines w:val="0"/>
              <w:pageBreakBefore w:val="0"/>
              <w:kinsoku/>
              <w:overflowPunct/>
              <w:topLinePunct w:val="0"/>
              <w:bidi w:val="0"/>
              <w:snapToGrid/>
              <w:spacing w:line="580" w:lineRule="exact"/>
              <w:ind w:firstLine="0" w:firstLineChars="0"/>
              <w:jc w:val="center"/>
              <w:textAlignment w:val="auto"/>
              <w:rPr>
                <w:rFonts w:ascii="宋体" w:hAnsi="宋体"/>
                <w:sz w:val="24"/>
              </w:rPr>
            </w:pPr>
            <w:r>
              <w:rPr>
                <w:rFonts w:hint="eastAsia" w:ascii="宋体" w:hAnsi="宋体"/>
                <w:sz w:val="24"/>
              </w:rPr>
              <w:t>40</w:t>
            </w:r>
          </w:p>
        </w:tc>
        <w:tc>
          <w:tcPr>
            <w:tcW w:w="5303" w:type="dxa"/>
            <w:noWrap w:val="0"/>
            <w:vAlign w:val="center"/>
          </w:tcPr>
          <w:p>
            <w:pPr>
              <w:keepNext w:val="0"/>
              <w:keepLines w:val="0"/>
              <w:pageBreakBefore w:val="0"/>
              <w:kinsoku/>
              <w:overflowPunct/>
              <w:topLinePunct w:val="0"/>
              <w:bidi w:val="0"/>
              <w:snapToGrid/>
              <w:spacing w:line="580" w:lineRule="exact"/>
              <w:ind w:firstLine="0" w:firstLineChars="0"/>
              <w:jc w:val="left"/>
              <w:textAlignment w:val="auto"/>
              <w:rPr>
                <w:rFonts w:ascii="宋体" w:hAnsi="宋体"/>
                <w:b/>
                <w:bCs/>
                <w:color w:val="000000"/>
                <w:szCs w:val="21"/>
              </w:rPr>
            </w:pPr>
            <w:r>
              <w:rPr>
                <w:rFonts w:hint="eastAsia" w:ascii="宋体" w:hAnsi="宋体"/>
                <w:b/>
                <w:bCs/>
                <w:color w:val="000000"/>
                <w:szCs w:val="21"/>
                <w:lang w:eastAsia="zh-CN"/>
              </w:rPr>
              <w:t>一</w:t>
            </w:r>
            <w:r>
              <w:rPr>
                <w:rFonts w:hint="eastAsia" w:ascii="宋体" w:hAnsi="宋体"/>
                <w:b/>
                <w:bCs/>
                <w:color w:val="000000"/>
                <w:szCs w:val="21"/>
              </w:rPr>
              <w:t>、投标人资格认证情况 （</w:t>
            </w:r>
            <w:r>
              <w:rPr>
                <w:rFonts w:hint="eastAsia" w:ascii="宋体" w:hAnsi="宋体"/>
                <w:b/>
                <w:bCs/>
                <w:color w:val="000000"/>
                <w:szCs w:val="21"/>
                <w:lang w:val="en-US" w:eastAsia="zh-CN"/>
              </w:rPr>
              <w:t>10</w:t>
            </w:r>
            <w:r>
              <w:rPr>
                <w:rFonts w:hint="eastAsia" w:ascii="宋体" w:hAnsi="宋体"/>
                <w:b/>
                <w:bCs/>
                <w:color w:val="000000"/>
                <w:szCs w:val="21"/>
              </w:rPr>
              <w:t>分）</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（一）评分内容：</w:t>
            </w: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szCs w:val="21"/>
              </w:rPr>
            </w:pPr>
            <w:r>
              <w:rPr>
                <w:rFonts w:hint="eastAsia" w:ascii="宋体" w:hAnsi="宋体"/>
                <w:szCs w:val="21"/>
              </w:rPr>
              <w:t>1.</w:t>
            </w:r>
            <w:r>
              <w:rPr>
                <w:rFonts w:hint="eastAsia"/>
                <w:szCs w:val="21"/>
              </w:rPr>
              <w:t>投标人</w:t>
            </w:r>
            <w:r>
              <w:rPr>
                <w:rFonts w:hint="eastAsia" w:ascii="宋体" w:hAnsi="宋体"/>
                <w:sz w:val="21"/>
                <w:szCs w:val="21"/>
                <w:lang w:val="en-US" w:eastAsia="zh-CN"/>
              </w:rPr>
              <w:t>拥有</w:t>
            </w:r>
            <w:r>
              <w:rPr>
                <w:rFonts w:hint="eastAsia"/>
                <w:szCs w:val="21"/>
              </w:rPr>
              <w:t>住房和建设</w:t>
            </w:r>
            <w:r>
              <w:rPr>
                <w:rFonts w:hint="eastAsia"/>
                <w:szCs w:val="21"/>
                <w:lang w:eastAsia="zh-CN"/>
              </w:rPr>
              <w:t>部门</w:t>
            </w:r>
            <w:r>
              <w:rPr>
                <w:rFonts w:hint="eastAsia"/>
                <w:szCs w:val="21"/>
              </w:rPr>
              <w:t>颁发的建设工程质量检测机构资质证书</w:t>
            </w:r>
            <w:r>
              <w:rPr>
                <w:rFonts w:hint="eastAsia"/>
                <w:szCs w:val="21"/>
                <w:lang w:eastAsia="zh-CN"/>
              </w:rPr>
              <w:t>，且</w:t>
            </w:r>
            <w:r>
              <w:rPr>
                <w:rFonts w:hint="eastAsia"/>
                <w:szCs w:val="21"/>
              </w:rPr>
              <w:t>检测范围含有：地基基础检测工程、主体结构工程现场检测、</w:t>
            </w:r>
            <w:r>
              <w:rPr>
                <w:rFonts w:hint="eastAsia"/>
                <w:color w:val="auto"/>
                <w:szCs w:val="21"/>
                <w:highlight w:val="none"/>
              </w:rPr>
              <w:t>建筑幕墙工程检测、钢结构工程检测、</w:t>
            </w:r>
            <w:r>
              <w:rPr>
                <w:rFonts w:hint="eastAsia"/>
                <w:szCs w:val="21"/>
              </w:rPr>
              <w:t>见证取样检测</w:t>
            </w:r>
            <w:r>
              <w:rPr>
                <w:rFonts w:hint="eastAsia" w:ascii="宋体" w:hAnsi="宋体"/>
                <w:szCs w:val="21"/>
              </w:rPr>
              <w:t>，得</w:t>
            </w:r>
            <w:r>
              <w:rPr>
                <w:rFonts w:hint="eastAsia" w:ascii="宋体" w:hAnsi="宋体"/>
                <w:szCs w:val="21"/>
                <w:lang w:val="en-US" w:eastAsia="zh-CN"/>
              </w:rPr>
              <w:t>2</w:t>
            </w:r>
            <w:r>
              <w:rPr>
                <w:rFonts w:hint="eastAsia" w:ascii="宋体" w:hAnsi="宋体"/>
                <w:szCs w:val="21"/>
              </w:rPr>
              <w:t>0%分数。</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sz w:val="21"/>
                <w:szCs w:val="21"/>
                <w:lang w:val="en-US" w:eastAsia="zh-CN"/>
              </w:rPr>
              <w:t>2.投标人拥</w:t>
            </w:r>
            <w:r>
              <w:rPr>
                <w:rFonts w:hint="eastAsia" w:ascii="宋体" w:hAnsi="宋体" w:eastAsia="宋体" w:cs="Times New Roman"/>
                <w:sz w:val="21"/>
                <w:szCs w:val="21"/>
                <w:lang w:val="en-US" w:eastAsia="zh-CN"/>
              </w:rPr>
              <w:t>有中国合格评定国家认可委员会实验室认可证书（CNAS）且在有效期内得20%的分数。</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sz w:val="21"/>
                <w:szCs w:val="21"/>
                <w:lang w:val="en-US" w:eastAsia="zh-CN"/>
              </w:rPr>
              <w:t>3.投标人拥</w:t>
            </w:r>
            <w:r>
              <w:rPr>
                <w:rFonts w:hint="eastAsia" w:ascii="宋体" w:hAnsi="宋体" w:eastAsia="宋体" w:cs="Times New Roman"/>
                <w:sz w:val="21"/>
                <w:szCs w:val="21"/>
                <w:lang w:val="en-US" w:eastAsia="zh-CN"/>
              </w:rPr>
              <w:t>有中国合格评定国家认可委员会检验机构认可证书（CNAS）且在有效期内得30%的分数。</w:t>
            </w:r>
          </w:p>
          <w:p>
            <w:pPr>
              <w:pStyle w:val="4"/>
              <w:keepNext w:val="0"/>
              <w:keepLines w:val="0"/>
              <w:pageBreakBefore w:val="0"/>
              <w:kinsoku/>
              <w:overflowPunct/>
              <w:topLinePunct w:val="0"/>
              <w:bidi w:val="0"/>
              <w:snapToGrid/>
              <w:spacing w:line="580" w:lineRule="exact"/>
              <w:ind w:firstLine="0" w:firstLineChars="0"/>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4.投标人拥有</w:t>
            </w:r>
            <w:r>
              <w:rPr>
                <w:rFonts w:hint="eastAsia" w:ascii="宋体" w:hAnsi="宋体" w:eastAsia="宋体" w:cs="Times New Roman"/>
                <w:sz w:val="21"/>
                <w:szCs w:val="21"/>
                <w:highlight w:val="none"/>
              </w:rPr>
              <w:t>质量管理体系认证证书（ISO9001）、职业健康安全管理体系认证证书、环境管理体系认证证书</w:t>
            </w:r>
            <w:r>
              <w:rPr>
                <w:rFonts w:hint="eastAsia" w:ascii="宋体" w:hAnsi="宋体" w:eastAsia="宋体" w:cs="Times New Roman"/>
                <w:sz w:val="21"/>
                <w:szCs w:val="21"/>
                <w:highlight w:val="none"/>
                <w:lang w:eastAsia="zh-CN"/>
              </w:rPr>
              <w:t>情况，每拥有一个证书，得</w:t>
            </w:r>
            <w:r>
              <w:rPr>
                <w:rFonts w:hint="eastAsia" w:ascii="宋体" w:hAnsi="宋体" w:eastAsia="宋体" w:cs="Times New Roman"/>
                <w:sz w:val="21"/>
                <w:szCs w:val="21"/>
                <w:highlight w:val="none"/>
                <w:lang w:val="en-US" w:eastAsia="zh-CN"/>
              </w:rPr>
              <w:t>10%的分数，该项最多得30%的分数。</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sz w:val="21"/>
                <w:szCs w:val="21"/>
                <w:lang w:val="en-US" w:eastAsia="zh-CN"/>
              </w:rPr>
            </w:pPr>
            <w:r>
              <w:rPr>
                <w:rFonts w:hint="eastAsia" w:ascii="宋体" w:hAnsi="宋体" w:eastAsia="宋体" w:cs="Times New Roman"/>
                <w:sz w:val="21"/>
                <w:szCs w:val="21"/>
                <w:lang w:val="en-US" w:eastAsia="zh-CN"/>
              </w:rPr>
              <w:t>以上1、2、3、4项目累</w:t>
            </w:r>
            <w:r>
              <w:rPr>
                <w:rFonts w:hint="eastAsia" w:ascii="宋体" w:hAnsi="宋体"/>
                <w:sz w:val="21"/>
                <w:szCs w:val="21"/>
                <w:lang w:val="en-US" w:eastAsia="zh-CN"/>
              </w:rPr>
              <w:t>加得分，满分1</w:t>
            </w:r>
            <w:r>
              <w:rPr>
                <w:rFonts w:ascii="宋体" w:hAnsi="宋体"/>
                <w:sz w:val="21"/>
                <w:szCs w:val="21"/>
                <w:lang w:val="en-US" w:eastAsia="zh-CN"/>
              </w:rPr>
              <w:t>00</w:t>
            </w:r>
            <w:r>
              <w:rPr>
                <w:rFonts w:hint="eastAsia" w:ascii="宋体" w:hAnsi="宋体"/>
                <w:sz w:val="21"/>
                <w:szCs w:val="21"/>
                <w:lang w:val="en-US" w:eastAsia="zh-CN"/>
              </w:rPr>
              <w:t>%分。</w:t>
            </w:r>
          </w:p>
          <w:p>
            <w:pPr>
              <w:keepNext w:val="0"/>
              <w:keepLines w:val="0"/>
              <w:pageBreakBefore w:val="0"/>
              <w:kinsoku/>
              <w:overflowPunct/>
              <w:topLinePunct w:val="0"/>
              <w:bidi w:val="0"/>
              <w:snapToGrid/>
              <w:spacing w:line="580" w:lineRule="exact"/>
              <w:ind w:firstLine="0" w:firstLineChars="0"/>
              <w:textAlignment w:val="auto"/>
              <w:rPr>
                <w:rFonts w:hint="eastAsia" w:ascii="宋体" w:hAnsi="宋体"/>
                <w:szCs w:val="21"/>
              </w:rPr>
            </w:pPr>
            <w:r>
              <w:rPr>
                <w:rFonts w:hint="eastAsia" w:ascii="宋体" w:hAnsi="宋体"/>
                <w:szCs w:val="21"/>
              </w:rPr>
              <w:t>（二）评分依据：</w:t>
            </w:r>
          </w:p>
          <w:p>
            <w:pPr>
              <w:keepNext w:val="0"/>
              <w:keepLines w:val="0"/>
              <w:pageBreakBefore w:val="0"/>
              <w:kinsoku/>
              <w:overflowPunct/>
              <w:topLinePunct w:val="0"/>
              <w:bidi w:val="0"/>
              <w:snapToGrid/>
              <w:spacing w:line="580" w:lineRule="exact"/>
              <w:ind w:firstLine="0" w:firstLineChars="0"/>
              <w:jc w:val="left"/>
              <w:textAlignment w:val="auto"/>
              <w:rPr>
                <w:rFonts w:hint="eastAsia" w:ascii="宋体" w:hAnsi="宋体"/>
                <w:szCs w:val="21"/>
              </w:rPr>
            </w:pPr>
            <w:r>
              <w:rPr>
                <w:rFonts w:hint="eastAsia" w:ascii="宋体" w:hAnsi="宋体"/>
                <w:szCs w:val="21"/>
              </w:rPr>
              <w:t>1.提供证书扫描件（原件备查）作为得分依据。</w:t>
            </w:r>
          </w:p>
          <w:p>
            <w:pPr>
              <w:keepNext w:val="0"/>
              <w:keepLines w:val="0"/>
              <w:pageBreakBefore w:val="0"/>
              <w:kinsoku/>
              <w:overflowPunct/>
              <w:topLinePunct w:val="0"/>
              <w:bidi w:val="0"/>
              <w:snapToGrid/>
              <w:spacing w:line="580" w:lineRule="exact"/>
              <w:ind w:firstLine="0" w:firstLineChars="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w:t>
            </w:r>
            <w:r>
              <w:rPr>
                <w:rFonts w:hint="eastAsia" w:ascii="宋体" w:hAnsi="宋体" w:eastAsia="宋体" w:cs="Times New Roman"/>
                <w:sz w:val="21"/>
                <w:szCs w:val="21"/>
                <w:lang w:val="en-US" w:eastAsia="zh-CN"/>
              </w:rPr>
              <w:t>以上资料未提供或提供不全，或证明材料未明确响应评分要求的，不予认可</w:t>
            </w:r>
            <w:r>
              <w:rPr>
                <w:rFonts w:hint="eastAsia" w:ascii="宋体" w:hAnsi="宋体" w:eastAsia="宋体" w:cs="Times New Roman"/>
                <w:szCs w:val="21"/>
              </w:rPr>
              <w:t>。</w:t>
            </w:r>
          </w:p>
          <w:p>
            <w:pPr>
              <w:pStyle w:val="7"/>
              <w:keepNext w:val="0"/>
              <w:keepLines w:val="0"/>
              <w:pageBreakBefore w:val="0"/>
              <w:kinsoku/>
              <w:overflowPunct/>
              <w:topLinePunct w:val="0"/>
              <w:bidi w:val="0"/>
              <w:snapToGrid/>
              <w:spacing w:line="580" w:lineRule="exact"/>
              <w:ind w:firstLine="0" w:firstLineChars="0"/>
              <w:textAlignment w:val="auto"/>
              <w:rPr>
                <w:rFonts w:hint="eastAsia"/>
              </w:rPr>
            </w:pP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b/>
                <w:bCs/>
                <w:color w:val="000000"/>
                <w:szCs w:val="21"/>
              </w:rPr>
            </w:pPr>
            <w:r>
              <w:rPr>
                <w:rFonts w:hint="eastAsia" w:ascii="宋体" w:hAnsi="宋体"/>
                <w:b/>
                <w:bCs/>
                <w:color w:val="000000"/>
                <w:szCs w:val="21"/>
                <w:lang w:eastAsia="zh-CN"/>
              </w:rPr>
              <w:t>二</w:t>
            </w:r>
            <w:r>
              <w:rPr>
                <w:rFonts w:hint="eastAsia" w:ascii="宋体" w:hAnsi="宋体"/>
                <w:b/>
                <w:bCs/>
                <w:color w:val="000000"/>
                <w:szCs w:val="21"/>
              </w:rPr>
              <w:t>、投标人同类项目业绩情况 （</w:t>
            </w:r>
            <w:r>
              <w:rPr>
                <w:rFonts w:hint="eastAsia" w:ascii="宋体" w:hAnsi="宋体"/>
                <w:b/>
                <w:bCs/>
                <w:color w:val="000000"/>
                <w:szCs w:val="21"/>
                <w:lang w:val="en-US" w:eastAsia="zh-CN"/>
              </w:rPr>
              <w:t>10</w:t>
            </w:r>
            <w:r>
              <w:rPr>
                <w:rFonts w:hint="eastAsia" w:ascii="宋体" w:hAnsi="宋体"/>
                <w:b/>
                <w:bCs/>
                <w:color w:val="000000"/>
                <w:szCs w:val="21"/>
              </w:rPr>
              <w:t>分）</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（一）评分内容：</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投标人近3年（自2020年1月1日至本项目截标之日，</w:t>
            </w:r>
            <w:r>
              <w:rPr>
                <w:rFonts w:hint="eastAsia" w:ascii="宋体" w:hAnsi="宋体"/>
                <w:sz w:val="21"/>
                <w:szCs w:val="21"/>
              </w:rPr>
              <w:t>以合同签订时间为准</w:t>
            </w:r>
            <w:r>
              <w:rPr>
                <w:rFonts w:hint="eastAsia" w:ascii="宋体" w:hAnsi="宋体" w:eastAsia="宋体" w:cs="Times New Roman"/>
                <w:sz w:val="21"/>
                <w:szCs w:val="21"/>
                <w:lang w:val="en-US" w:eastAsia="zh-CN"/>
              </w:rPr>
              <w:t>）承担过副省级（或以上）城市范围内的房屋建筑安全性鉴定服务合同业绩情况：</w:t>
            </w:r>
          </w:p>
          <w:p>
            <w:pPr>
              <w:pStyle w:val="4"/>
              <w:keepNext w:val="0"/>
              <w:keepLines w:val="0"/>
              <w:pageBreakBefore w:val="0"/>
              <w:numPr>
                <w:ilvl w:val="0"/>
                <w:numId w:val="0"/>
              </w:numPr>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1.合同数量≥3项，得100%分数；</w:t>
            </w:r>
          </w:p>
          <w:p>
            <w:pPr>
              <w:pStyle w:val="4"/>
              <w:keepNext w:val="0"/>
              <w:keepLines w:val="0"/>
              <w:pageBreakBefore w:val="0"/>
              <w:numPr>
                <w:ilvl w:val="0"/>
                <w:numId w:val="0"/>
              </w:numPr>
              <w:kinsoku/>
              <w:overflowPunct/>
              <w:topLinePunct w:val="0"/>
              <w:bidi w:val="0"/>
              <w:snapToGrid/>
              <w:spacing w:line="580" w:lineRule="exact"/>
              <w:ind w:left="0" w:leftChars="0"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2.合同数量=2项，得70%分数；</w:t>
            </w:r>
          </w:p>
          <w:p>
            <w:pPr>
              <w:pStyle w:val="4"/>
              <w:keepNext w:val="0"/>
              <w:keepLines w:val="0"/>
              <w:pageBreakBefore w:val="0"/>
              <w:numPr>
                <w:ilvl w:val="0"/>
                <w:numId w:val="0"/>
              </w:numPr>
              <w:kinsoku/>
              <w:overflowPunct/>
              <w:topLinePunct w:val="0"/>
              <w:bidi w:val="0"/>
              <w:snapToGrid/>
              <w:spacing w:line="580" w:lineRule="exact"/>
              <w:ind w:left="0" w:leftChars="0"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3.合同数量=1项，得40%分数；</w:t>
            </w:r>
          </w:p>
          <w:p>
            <w:pPr>
              <w:pStyle w:val="4"/>
              <w:keepNext w:val="0"/>
              <w:keepLines w:val="0"/>
              <w:pageBreakBefore w:val="0"/>
              <w:numPr>
                <w:ilvl w:val="0"/>
                <w:numId w:val="0"/>
              </w:numPr>
              <w:kinsoku/>
              <w:overflowPunct/>
              <w:topLinePunct w:val="0"/>
              <w:bidi w:val="0"/>
              <w:snapToGrid/>
              <w:spacing w:line="580" w:lineRule="exact"/>
              <w:ind w:left="0" w:leftChars="0" w:firstLine="0" w:firstLineChars="0"/>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4.没有合同业绩不得分。</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（二）评分依据：</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1.以合同签订日期为准，需提供类似业绩合同扫描件关键页（应体现合同金额、合同签订日期、合同工作内容、合同盖章页等）。</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2.以上资料未提供或提供不全，或证明材料未明确反映业绩要求的，不予认可。</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3.副省级（或以上）城市具体信息如下：全国副省级城市为哈尔滨、长春、沈阳、大连、济南、青岛、南京、杭州、宁波、厦门、广州、深圳、武汉、成都和西安；省级城市为北京、天津、上海和重庆。</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b/>
                <w:bCs/>
                <w:color w:val="000000"/>
                <w:szCs w:val="21"/>
              </w:rPr>
            </w:pPr>
            <w:r>
              <w:rPr>
                <w:rFonts w:hint="eastAsia" w:ascii="宋体" w:hAnsi="宋体"/>
                <w:b/>
                <w:bCs/>
                <w:color w:val="000000"/>
                <w:szCs w:val="21"/>
                <w:lang w:eastAsia="zh-CN"/>
              </w:rPr>
              <w:t>三</w:t>
            </w:r>
            <w:r>
              <w:rPr>
                <w:rFonts w:hint="eastAsia" w:ascii="宋体" w:hAnsi="宋体"/>
                <w:b/>
                <w:bCs/>
                <w:color w:val="000000"/>
                <w:szCs w:val="21"/>
              </w:rPr>
              <w:t>、项目负责人情况 （</w:t>
            </w:r>
            <w:r>
              <w:rPr>
                <w:rFonts w:hint="eastAsia" w:ascii="宋体" w:hAnsi="宋体"/>
                <w:b/>
                <w:bCs/>
                <w:color w:val="000000"/>
                <w:szCs w:val="21"/>
                <w:lang w:val="en-US" w:eastAsia="zh-CN"/>
              </w:rPr>
              <w:t>10</w:t>
            </w:r>
            <w:r>
              <w:rPr>
                <w:rFonts w:hint="eastAsia" w:ascii="宋体" w:hAnsi="宋体"/>
                <w:b/>
                <w:bCs/>
                <w:color w:val="000000"/>
                <w:szCs w:val="21"/>
              </w:rPr>
              <w:t>分）</w:t>
            </w:r>
          </w:p>
          <w:p>
            <w:pPr>
              <w:keepNext w:val="0"/>
              <w:keepLines w:val="0"/>
              <w:pageBreakBefore w:val="0"/>
              <w:kinsoku/>
              <w:wordWrap w:val="0"/>
              <w:overflowPunct/>
              <w:topLinePunct w:val="0"/>
              <w:bidi w:val="0"/>
              <w:snapToGrid/>
              <w:spacing w:line="580" w:lineRule="exact"/>
              <w:ind w:firstLine="0" w:firstLineChars="0"/>
              <w:textAlignment w:val="auto"/>
              <w:rPr>
                <w:rFonts w:ascii="宋体" w:hAnsi="宋体"/>
                <w:szCs w:val="21"/>
              </w:rPr>
            </w:pPr>
            <w:r>
              <w:rPr>
                <w:rFonts w:hint="eastAsia" w:ascii="宋体" w:hAnsi="宋体"/>
                <w:szCs w:val="21"/>
              </w:rPr>
              <w:t>（一）评分内容：</w:t>
            </w:r>
          </w:p>
          <w:p>
            <w:pPr>
              <w:keepNext w:val="0"/>
              <w:keepLines w:val="0"/>
              <w:pageBreakBefore w:val="0"/>
              <w:kinsoku/>
              <w:wordWrap w:val="0"/>
              <w:overflowPunct/>
              <w:topLinePunct w:val="0"/>
              <w:bidi w:val="0"/>
              <w:snapToGrid/>
              <w:spacing w:line="580" w:lineRule="exact"/>
              <w:ind w:firstLine="0" w:firstLineChars="0"/>
              <w:textAlignment w:val="auto"/>
              <w:rPr>
                <w:rFonts w:hint="eastAsia" w:ascii="宋体" w:hAnsi="宋体" w:eastAsia="宋体" w:cs="Times New Roman"/>
                <w:szCs w:val="21"/>
              </w:rPr>
            </w:pPr>
            <w:r>
              <w:rPr>
                <w:rFonts w:hint="eastAsia" w:ascii="宋体" w:hAnsi="宋体"/>
                <w:szCs w:val="21"/>
              </w:rPr>
              <w:t>要求拟安排的项目负责人</w:t>
            </w:r>
            <w:r>
              <w:rPr>
                <w:rFonts w:hint="eastAsia" w:ascii="宋体" w:hAnsi="宋体"/>
                <w:szCs w:val="21"/>
                <w:lang w:eastAsia="zh-CN"/>
              </w:rPr>
              <w:t>为</w:t>
            </w:r>
            <w:r>
              <w:rPr>
                <w:rFonts w:hint="eastAsia"/>
                <w:szCs w:val="21"/>
                <w:highlight w:val="none"/>
              </w:rPr>
              <w:t>建筑</w:t>
            </w:r>
            <w:r>
              <w:rPr>
                <w:rFonts w:hint="eastAsia"/>
                <w:szCs w:val="21"/>
                <w:highlight w:val="none"/>
                <w:lang w:eastAsia="zh-CN"/>
              </w:rPr>
              <w:t>结构类</w:t>
            </w:r>
            <w:r>
              <w:rPr>
                <w:szCs w:val="21"/>
              </w:rPr>
              <w:t>专业高级工程师</w:t>
            </w:r>
            <w:r>
              <w:rPr>
                <w:rFonts w:hint="eastAsia"/>
                <w:szCs w:val="21"/>
                <w:lang w:eastAsia="zh-CN"/>
              </w:rPr>
              <w:t>（正高、副高职称均认可）</w:t>
            </w:r>
            <w:r>
              <w:rPr>
                <w:rFonts w:hint="eastAsia" w:ascii="宋体" w:hAnsi="宋体"/>
                <w:szCs w:val="21"/>
              </w:rPr>
              <w:t>，不满足此</w:t>
            </w:r>
            <w:r>
              <w:rPr>
                <w:rFonts w:hint="eastAsia" w:ascii="宋体" w:hAnsi="宋体" w:eastAsia="宋体" w:cs="Times New Roman"/>
                <w:szCs w:val="21"/>
              </w:rPr>
              <w:t>项本项不得分；在此基础上：</w:t>
            </w:r>
          </w:p>
          <w:p>
            <w:pPr>
              <w:keepNext w:val="0"/>
              <w:keepLines w:val="0"/>
              <w:pageBreakBefore w:val="0"/>
              <w:kinsoku/>
              <w:wordWrap w:val="0"/>
              <w:overflowPunct/>
              <w:topLinePunct w:val="0"/>
              <w:bidi w:val="0"/>
              <w:snapToGrid/>
              <w:spacing w:line="580" w:lineRule="exact"/>
              <w:ind w:firstLine="0" w:firstLineChars="0"/>
              <w:textAlignment w:val="auto"/>
              <w:rPr>
                <w:rFonts w:hint="eastAsia" w:ascii="宋体" w:hAnsi="宋体" w:eastAsia="宋体" w:cs="Times New Roman"/>
                <w:szCs w:val="21"/>
              </w:rPr>
            </w:pPr>
            <w:r>
              <w:rPr>
                <w:rFonts w:hint="eastAsia" w:ascii="宋体" w:hAnsi="宋体" w:eastAsia="宋体" w:cs="Times New Roman"/>
                <w:szCs w:val="21"/>
              </w:rPr>
              <w:t>1.具有</w:t>
            </w:r>
            <w:r>
              <w:rPr>
                <w:rFonts w:hint="eastAsia"/>
                <w:szCs w:val="21"/>
              </w:rPr>
              <w:t>国家一级注册结构工程师</w:t>
            </w:r>
            <w:r>
              <w:rPr>
                <w:rFonts w:hint="eastAsia"/>
                <w:szCs w:val="21"/>
                <w:lang w:eastAsia="zh-CN"/>
              </w:rPr>
              <w:t>资格证书的，</w:t>
            </w:r>
            <w:r>
              <w:rPr>
                <w:rFonts w:hint="eastAsia" w:ascii="宋体" w:hAnsi="宋体" w:eastAsia="宋体" w:cs="Times New Roman"/>
                <w:szCs w:val="21"/>
              </w:rPr>
              <w:t>得</w:t>
            </w:r>
            <w:r>
              <w:rPr>
                <w:rFonts w:hint="eastAsia" w:ascii="宋体" w:hAnsi="宋体" w:eastAsia="宋体" w:cs="Times New Roman"/>
                <w:szCs w:val="21"/>
                <w:lang w:val="en-US" w:eastAsia="zh-CN"/>
              </w:rPr>
              <w:t>2</w:t>
            </w:r>
            <w:r>
              <w:rPr>
                <w:rFonts w:hint="eastAsia" w:ascii="宋体" w:hAnsi="宋体" w:eastAsia="宋体" w:cs="Times New Roman"/>
                <w:szCs w:val="21"/>
              </w:rPr>
              <w:t>0%分；</w:t>
            </w:r>
          </w:p>
          <w:p>
            <w:pPr>
              <w:pStyle w:val="7"/>
              <w:keepNext w:val="0"/>
              <w:keepLines w:val="0"/>
              <w:pageBreakBefore w:val="0"/>
              <w:kinsoku/>
              <w:overflowPunct/>
              <w:topLinePunct w:val="0"/>
              <w:bidi w:val="0"/>
              <w:snapToGrid/>
              <w:spacing w:line="580" w:lineRule="exact"/>
              <w:ind w:left="0" w:leftChars="0" w:firstLine="0" w:firstLineChars="0"/>
              <w:textAlignment w:val="auto"/>
              <w:rPr>
                <w:rFonts w:hint="eastAsia"/>
              </w:rPr>
            </w:pPr>
            <w:r>
              <w:rPr>
                <w:rFonts w:hint="eastAsia" w:ascii="宋体" w:hAnsi="宋体" w:eastAsia="宋体" w:cs="Times New Roman"/>
                <w:kern w:val="2"/>
                <w:sz w:val="21"/>
                <w:szCs w:val="21"/>
                <w:lang w:val="en-US" w:eastAsia="zh-CN" w:bidi="ar-SA"/>
              </w:rPr>
              <w:t>2.具</w:t>
            </w:r>
            <w:r>
              <w:rPr>
                <w:rFonts w:hint="eastAsia" w:eastAsia="宋体" w:cs="Times New Roman"/>
              </w:rPr>
              <w:t>有</w:t>
            </w:r>
            <w:r>
              <w:rPr>
                <w:szCs w:val="21"/>
              </w:rPr>
              <w:t>国家注册土木工程师（</w:t>
            </w:r>
            <w:r>
              <w:rPr>
                <w:rFonts w:hint="eastAsia"/>
                <w:szCs w:val="21"/>
              </w:rPr>
              <w:t>岩土</w:t>
            </w:r>
            <w:r>
              <w:rPr>
                <w:szCs w:val="21"/>
              </w:rPr>
              <w:t>）</w:t>
            </w:r>
            <w:r>
              <w:rPr>
                <w:rFonts w:hint="eastAsia" w:ascii="宋体" w:hAnsi="宋体" w:eastAsia="宋体" w:cs="Times New Roman"/>
                <w:kern w:val="2"/>
                <w:sz w:val="21"/>
                <w:szCs w:val="21"/>
                <w:lang w:val="en-US" w:eastAsia="zh-CN" w:bidi="ar-SA"/>
              </w:rPr>
              <w:t>资格证书的，得20％分；</w:t>
            </w:r>
          </w:p>
          <w:p>
            <w:pPr>
              <w:keepNext w:val="0"/>
              <w:keepLines w:val="0"/>
              <w:pageBreakBefore w:val="0"/>
              <w:kinsoku/>
              <w:wordWrap w:val="0"/>
              <w:overflowPunct/>
              <w:topLinePunct w:val="0"/>
              <w:bidi w:val="0"/>
              <w:snapToGrid/>
              <w:spacing w:line="580" w:lineRule="exact"/>
              <w:ind w:firstLine="0" w:firstLineChars="0"/>
              <w:textAlignment w:val="auto"/>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.近</w:t>
            </w:r>
            <w:r>
              <w:rPr>
                <w:rFonts w:hint="eastAsia" w:ascii="宋体" w:hAnsi="宋体" w:eastAsia="宋体" w:cs="Times New Roman"/>
                <w:szCs w:val="21"/>
                <w:lang w:val="en-US" w:eastAsia="zh-CN"/>
              </w:rPr>
              <w:t>3</w:t>
            </w:r>
            <w:r>
              <w:rPr>
                <w:rFonts w:hint="eastAsia" w:ascii="宋体" w:hAnsi="宋体" w:eastAsia="宋体" w:cs="Times New Roman"/>
                <w:szCs w:val="21"/>
              </w:rPr>
              <w:t>年（自20</w:t>
            </w:r>
            <w:r>
              <w:rPr>
                <w:rFonts w:hint="eastAsia" w:ascii="宋体" w:hAnsi="宋体" w:eastAsia="宋体" w:cs="Times New Roman"/>
                <w:szCs w:val="21"/>
                <w:lang w:val="en-US" w:eastAsia="zh-CN"/>
              </w:rPr>
              <w:t>20</w:t>
            </w:r>
            <w:r>
              <w:rPr>
                <w:rFonts w:hint="eastAsia" w:ascii="宋体" w:hAnsi="宋体" w:eastAsia="宋体" w:cs="Times New Roman"/>
                <w:szCs w:val="21"/>
              </w:rPr>
              <w:t>年1月1日</w:t>
            </w:r>
            <w:r>
              <w:rPr>
                <w:rFonts w:hint="eastAsia" w:ascii="宋体" w:hAnsi="宋体" w:eastAsia="宋体" w:cs="Times New Roman"/>
                <w:szCs w:val="21"/>
                <w:lang w:val="en-US" w:eastAsia="zh-CN"/>
              </w:rPr>
              <w:t>至本项目截标之日，</w:t>
            </w:r>
            <w:r>
              <w:rPr>
                <w:rFonts w:hint="eastAsia" w:ascii="宋体" w:hAnsi="宋体"/>
                <w:sz w:val="21"/>
                <w:szCs w:val="21"/>
              </w:rPr>
              <w:t>以合同签订时间为准</w:t>
            </w:r>
            <w:r>
              <w:rPr>
                <w:rFonts w:hint="eastAsia" w:ascii="宋体" w:hAnsi="宋体"/>
                <w:szCs w:val="21"/>
              </w:rPr>
              <w:t>，以合同签订时间为准</w:t>
            </w:r>
            <w:r>
              <w:rPr>
                <w:rFonts w:hint="eastAsia" w:ascii="宋体" w:hAnsi="宋体" w:eastAsia="宋体" w:cs="Times New Roman"/>
                <w:szCs w:val="21"/>
                <w:lang w:val="en-US" w:eastAsia="zh-CN"/>
              </w:rPr>
              <w:t>）作为项目负责人有承担过副省级（或以上）城市范围内</w:t>
            </w:r>
            <w:r>
              <w:rPr>
                <w:rFonts w:hint="eastAsia" w:ascii="宋体" w:hAnsi="宋体" w:eastAsia="宋体" w:cs="Times New Roman"/>
                <w:sz w:val="21"/>
                <w:szCs w:val="21"/>
                <w:lang w:val="en-US" w:eastAsia="zh-CN"/>
              </w:rPr>
              <w:t>房屋建筑安全性鉴定服务</w:t>
            </w:r>
            <w:r>
              <w:rPr>
                <w:rFonts w:hint="eastAsia" w:ascii="宋体" w:hAnsi="宋体" w:eastAsia="宋体" w:cs="Times New Roman"/>
                <w:szCs w:val="21"/>
                <w:lang w:val="en-US" w:eastAsia="zh-CN"/>
              </w:rPr>
              <w:t>合同业绩的，得60%分</w:t>
            </w:r>
            <w:r>
              <w:rPr>
                <w:rFonts w:hint="eastAsia" w:ascii="宋体" w:hAnsi="宋体" w:eastAsia="宋体" w:cs="Times New Roman"/>
                <w:szCs w:val="21"/>
              </w:rPr>
              <w:t>。</w:t>
            </w:r>
          </w:p>
          <w:p>
            <w:pPr>
              <w:keepNext w:val="0"/>
              <w:keepLines w:val="0"/>
              <w:pageBreakBefore w:val="0"/>
              <w:kinsoku/>
              <w:wordWrap w:val="0"/>
              <w:overflowPunct/>
              <w:topLinePunct w:val="0"/>
              <w:bidi w:val="0"/>
              <w:snapToGrid/>
              <w:spacing w:line="580" w:lineRule="exact"/>
              <w:ind w:firstLine="0" w:firstLineChars="0"/>
              <w:textAlignment w:val="auto"/>
              <w:rPr>
                <w:rFonts w:ascii="宋体" w:hAnsi="宋体"/>
                <w:szCs w:val="21"/>
              </w:rPr>
            </w:pPr>
            <w:r>
              <w:rPr>
                <w:rFonts w:hint="eastAsia" w:ascii="宋体" w:hAnsi="宋体"/>
                <w:szCs w:val="21"/>
              </w:rPr>
              <w:t>以上1、2</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项累计得分，满分100%分。</w:t>
            </w:r>
          </w:p>
          <w:p>
            <w:pPr>
              <w:keepNext w:val="0"/>
              <w:keepLines w:val="0"/>
              <w:pageBreakBefore w:val="0"/>
              <w:kinsoku/>
              <w:wordWrap w:val="0"/>
              <w:overflowPunct/>
              <w:topLinePunct w:val="0"/>
              <w:bidi w:val="0"/>
              <w:snapToGrid/>
              <w:spacing w:line="580" w:lineRule="exact"/>
              <w:ind w:firstLine="0" w:firstLineChars="0"/>
              <w:textAlignment w:val="auto"/>
              <w:rPr>
                <w:rFonts w:ascii="宋体" w:hAnsi="宋体"/>
                <w:szCs w:val="21"/>
              </w:rPr>
            </w:pPr>
            <w:r>
              <w:rPr>
                <w:rFonts w:hint="eastAsia" w:ascii="宋体" w:hAnsi="宋体"/>
                <w:szCs w:val="21"/>
              </w:rPr>
              <w:t>（二）评分依据：</w:t>
            </w:r>
          </w:p>
          <w:p>
            <w:pPr>
              <w:keepNext w:val="0"/>
              <w:keepLines w:val="0"/>
              <w:pageBreakBefore w:val="0"/>
              <w:kinsoku/>
              <w:wordWrap w:val="0"/>
              <w:overflowPunct/>
              <w:topLinePunct w:val="0"/>
              <w:bidi w:val="0"/>
              <w:snapToGrid/>
              <w:spacing w:line="580" w:lineRule="exact"/>
              <w:ind w:firstLine="0" w:firstLineChars="0"/>
              <w:textAlignment w:val="auto"/>
              <w:rPr>
                <w:rFonts w:hint="eastAsia" w:ascii="宋体" w:hAnsi="宋体" w:eastAsia="宋体" w:cs="Times New Roman"/>
                <w:szCs w:val="21"/>
                <w:lang w:eastAsia="zh-CN"/>
              </w:rPr>
            </w:pPr>
            <w:r>
              <w:rPr>
                <w:rFonts w:hint="eastAsia" w:ascii="宋体" w:hAnsi="宋体" w:eastAsia="宋体" w:cs="Times New Roman"/>
                <w:szCs w:val="21"/>
              </w:rPr>
              <w:t>1.以合同签订日期为准，需提供类似业绩合同扫描件关键页（应体现合同金额、合同签订日期、合同工作内容、合同盖章页及项目负责人信息），如合同未能反映拟派项目负责人任职信息，还需要提供成果文件或业主证明等能体现项目负责人任职信息的材料</w:t>
            </w:r>
            <w:r>
              <w:rPr>
                <w:rFonts w:hint="eastAsia" w:ascii="宋体" w:hAnsi="宋体" w:eastAsia="宋体" w:cs="Times New Roman"/>
                <w:szCs w:val="21"/>
                <w:lang w:eastAsia="zh-CN"/>
              </w:rPr>
              <w:t>；</w:t>
            </w:r>
          </w:p>
          <w:p>
            <w:pPr>
              <w:keepNext w:val="0"/>
              <w:keepLines w:val="0"/>
              <w:pageBreakBefore w:val="0"/>
              <w:kinsoku/>
              <w:wordWrap w:val="0"/>
              <w:overflowPunct/>
              <w:topLinePunct w:val="0"/>
              <w:bidi w:val="0"/>
              <w:snapToGrid/>
              <w:spacing w:line="580" w:lineRule="exact"/>
              <w:ind w:firstLine="0" w:firstLineChars="0"/>
              <w:textAlignment w:val="auto"/>
              <w:rPr>
                <w:rFonts w:hint="eastAsia" w:ascii="宋体" w:hAnsi="宋体" w:eastAsia="宋体" w:cs="Times New Roman"/>
                <w:szCs w:val="21"/>
                <w:lang w:eastAsia="zh-CN"/>
              </w:rPr>
            </w:pPr>
            <w:r>
              <w:rPr>
                <w:rFonts w:hint="eastAsia" w:ascii="宋体" w:hAnsi="宋体" w:eastAsia="宋体" w:cs="Times New Roman"/>
                <w:szCs w:val="21"/>
                <w:lang w:val="en-US" w:eastAsia="zh-CN"/>
              </w:rPr>
              <w:t>2.</w:t>
            </w:r>
            <w:r>
              <w:rPr>
                <w:rFonts w:hint="eastAsia" w:ascii="宋体" w:hAnsi="宋体" w:eastAsia="宋体" w:cs="Times New Roman"/>
                <w:szCs w:val="21"/>
              </w:rPr>
              <w:t>近三个月（从投标截止当月</w:t>
            </w:r>
            <w:r>
              <w:rPr>
                <w:rFonts w:hint="eastAsia" w:ascii="宋体" w:hAnsi="宋体"/>
                <w:szCs w:val="21"/>
              </w:rPr>
              <w:t>的上一个月开始</w:t>
            </w:r>
            <w:r>
              <w:rPr>
                <w:rFonts w:hint="eastAsia" w:ascii="宋体" w:hAnsi="宋体" w:eastAsia="宋体" w:cs="Times New Roman"/>
                <w:szCs w:val="21"/>
              </w:rPr>
              <w:t>倒推）的社保证明，网页截图或窗口打印资料或社保部门出具的证明均可</w:t>
            </w:r>
            <w:r>
              <w:rPr>
                <w:rFonts w:hint="eastAsia" w:ascii="宋体" w:hAnsi="宋体" w:eastAsia="宋体" w:cs="Times New Roman"/>
                <w:szCs w:val="21"/>
                <w:lang w:eastAsia="zh-CN"/>
              </w:rPr>
              <w:t>；</w:t>
            </w:r>
          </w:p>
          <w:p>
            <w:pPr>
              <w:keepNext w:val="0"/>
              <w:keepLines w:val="0"/>
              <w:pageBreakBefore w:val="0"/>
              <w:widowControl/>
              <w:kinsoku/>
              <w:overflowPunct/>
              <w:topLinePunct w:val="0"/>
              <w:bidi w:val="0"/>
              <w:snapToGrid/>
              <w:spacing w:line="580" w:lineRule="exact"/>
              <w:ind w:firstLine="0" w:firstLineChars="0"/>
              <w:jc w:val="left"/>
              <w:textAlignment w:val="auto"/>
              <w:rPr>
                <w:rFonts w:hint="eastAsia"/>
                <w:lang w:eastAsia="zh-CN"/>
              </w:rPr>
            </w:pPr>
            <w:r>
              <w:rPr>
                <w:rFonts w:hint="eastAsia" w:ascii="宋体" w:hAnsi="宋体"/>
                <w:szCs w:val="21"/>
                <w:lang w:val="en-US" w:eastAsia="zh-CN"/>
              </w:rPr>
              <w:t>3</w:t>
            </w:r>
            <w:r>
              <w:rPr>
                <w:rFonts w:hint="eastAsia" w:ascii="宋体" w:hAnsi="宋体"/>
                <w:szCs w:val="21"/>
              </w:rPr>
              <w:t>.要求提供资格证书扫描件（原件备查）作为得分依据。</w:t>
            </w:r>
          </w:p>
          <w:p>
            <w:pPr>
              <w:keepNext w:val="0"/>
              <w:keepLines w:val="0"/>
              <w:pageBreakBefore w:val="0"/>
              <w:kinsoku/>
              <w:wordWrap w:val="0"/>
              <w:overflowPunct/>
              <w:topLinePunct w:val="0"/>
              <w:bidi w:val="0"/>
              <w:snapToGrid/>
              <w:spacing w:line="580" w:lineRule="exact"/>
              <w:ind w:firstLine="0" w:firstLineChars="0"/>
              <w:textAlignment w:val="auto"/>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以上资料未提供或提供不全，或证明材料未明确反映业绩要求的，不予认可。</w:t>
            </w:r>
          </w:p>
          <w:p>
            <w:pPr>
              <w:keepNext w:val="0"/>
              <w:keepLines w:val="0"/>
              <w:pageBreakBefore w:val="0"/>
              <w:kinsoku/>
              <w:wordWrap w:val="0"/>
              <w:overflowPunct/>
              <w:topLinePunct w:val="0"/>
              <w:bidi w:val="0"/>
              <w:snapToGrid/>
              <w:spacing w:line="580" w:lineRule="exact"/>
              <w:ind w:firstLine="0" w:firstLineChars="0"/>
              <w:textAlignment w:val="auto"/>
              <w:rPr>
                <w:rFonts w:hint="eastAsia" w:ascii="宋体" w:hAnsi="宋体"/>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.研究员或教授级高级工</w:t>
            </w:r>
            <w:r>
              <w:rPr>
                <w:rFonts w:hint="eastAsia" w:ascii="宋体" w:hAnsi="宋体"/>
                <w:szCs w:val="21"/>
              </w:rPr>
              <w:t>程师为正高级职称；高级工程师为副高级职称；工程师为中级职称；助理工程师为初级职称。</w:t>
            </w:r>
          </w:p>
          <w:p>
            <w:pPr>
              <w:pStyle w:val="4"/>
              <w:keepNext w:val="0"/>
              <w:keepLines w:val="0"/>
              <w:pageBreakBefore w:val="0"/>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6.副省级（或以上）城市具体信息如下：全国副省级城市为哈尔滨、长春、沈阳、大连、济南、青岛、南京、杭州、宁波、厦门、广州、深圳、武汉、成都和西安；省级城市为北京、天津、上海和重庆。</w:t>
            </w:r>
          </w:p>
          <w:p>
            <w:pPr>
              <w:pStyle w:val="7"/>
              <w:keepNext w:val="0"/>
              <w:keepLines w:val="0"/>
              <w:pageBreakBefore w:val="0"/>
              <w:kinsoku/>
              <w:overflowPunct/>
              <w:topLinePunct w:val="0"/>
              <w:bidi w:val="0"/>
              <w:snapToGrid/>
              <w:spacing w:line="580" w:lineRule="exact"/>
              <w:ind w:firstLine="0" w:firstLineChars="0"/>
              <w:textAlignment w:val="auto"/>
            </w:pPr>
          </w:p>
          <w:p>
            <w:pPr>
              <w:keepNext w:val="0"/>
              <w:keepLines w:val="0"/>
              <w:pageBreakBefore w:val="0"/>
              <w:kinsoku/>
              <w:overflowPunct/>
              <w:topLinePunct w:val="0"/>
              <w:bidi w:val="0"/>
              <w:snapToGrid/>
              <w:spacing w:line="580" w:lineRule="exact"/>
              <w:ind w:firstLine="0" w:firstLineChars="0"/>
              <w:jc w:val="left"/>
              <w:textAlignment w:val="auto"/>
              <w:rPr>
                <w:rFonts w:ascii="宋体" w:hAnsi="宋体"/>
                <w:b/>
                <w:bCs/>
                <w:color w:val="000000"/>
                <w:szCs w:val="21"/>
              </w:rPr>
            </w:pPr>
            <w:r>
              <w:rPr>
                <w:rFonts w:hint="eastAsia" w:ascii="宋体" w:hAnsi="宋体"/>
                <w:b/>
                <w:bCs/>
                <w:color w:val="000000"/>
                <w:szCs w:val="21"/>
                <w:lang w:eastAsia="zh-CN"/>
              </w:rPr>
              <w:t>四</w:t>
            </w:r>
            <w:r>
              <w:rPr>
                <w:rFonts w:hint="eastAsia" w:ascii="宋体" w:hAnsi="宋体"/>
                <w:b/>
                <w:bCs/>
                <w:color w:val="000000"/>
                <w:szCs w:val="21"/>
              </w:rPr>
              <w:t>、项目团队成员（项目负责人除外）情况 （</w:t>
            </w:r>
            <w:r>
              <w:rPr>
                <w:rFonts w:hint="eastAsia" w:ascii="宋体" w:hAnsi="宋体"/>
                <w:b/>
                <w:bCs/>
                <w:color w:val="000000"/>
                <w:szCs w:val="21"/>
                <w:lang w:val="en-US" w:eastAsia="zh-CN"/>
              </w:rPr>
              <w:t>10</w:t>
            </w:r>
            <w:r>
              <w:rPr>
                <w:rFonts w:hint="eastAsia" w:ascii="宋体" w:hAnsi="宋体"/>
                <w:b/>
                <w:bCs/>
                <w:color w:val="000000"/>
                <w:szCs w:val="21"/>
              </w:rPr>
              <w:t>分）</w:t>
            </w:r>
          </w:p>
          <w:p>
            <w:pPr>
              <w:keepNext w:val="0"/>
              <w:keepLines w:val="0"/>
              <w:pageBreakBefore w:val="0"/>
              <w:widowControl/>
              <w:kinsoku/>
              <w:overflowPunct/>
              <w:topLinePunct w:val="0"/>
              <w:bidi w:val="0"/>
              <w:snapToGrid/>
              <w:spacing w:line="580" w:lineRule="exact"/>
              <w:ind w:firstLine="0" w:firstLineChars="0"/>
              <w:jc w:val="left"/>
              <w:textAlignment w:val="auto"/>
              <w:rPr>
                <w:rFonts w:hint="eastAsia" w:ascii="宋体" w:hAnsi="宋体"/>
                <w:szCs w:val="21"/>
              </w:rPr>
            </w:pPr>
            <w:r>
              <w:rPr>
                <w:rFonts w:hint="eastAsia" w:ascii="宋体" w:hAnsi="宋体"/>
                <w:szCs w:val="21"/>
              </w:rPr>
              <w:t>（一）评分内容：</w:t>
            </w:r>
          </w:p>
          <w:p>
            <w:pPr>
              <w:keepNext w:val="0"/>
              <w:keepLines w:val="0"/>
              <w:pageBreakBefore w:val="0"/>
              <w:widowControl/>
              <w:kinsoku/>
              <w:overflowPunct/>
              <w:topLinePunct w:val="0"/>
              <w:bidi w:val="0"/>
              <w:snapToGrid/>
              <w:spacing w:line="580" w:lineRule="exact"/>
              <w:ind w:firstLine="0" w:firstLineChars="0"/>
              <w:jc w:val="left"/>
              <w:textAlignment w:val="auto"/>
              <w:rPr>
                <w:rFonts w:hint="eastAsia" w:ascii="宋体" w:hAnsi="宋体"/>
                <w:szCs w:val="21"/>
              </w:rPr>
            </w:pPr>
            <w:r>
              <w:rPr>
                <w:rFonts w:hint="eastAsia" w:ascii="宋体" w:hAnsi="宋体"/>
                <w:szCs w:val="21"/>
              </w:rPr>
              <w:t>项目团队成员</w:t>
            </w:r>
            <w:r>
              <w:rPr>
                <w:rFonts w:hint="eastAsia" w:ascii="宋体" w:hAnsi="宋体"/>
                <w:szCs w:val="21"/>
                <w:lang w:eastAsia="zh-CN"/>
              </w:rPr>
              <w:t>（项目负责人除外）需至少持有</w:t>
            </w:r>
            <w:r>
              <w:rPr>
                <w:rFonts w:hint="eastAsia"/>
                <w:szCs w:val="21"/>
              </w:rPr>
              <w:t>国家一级注册结构工程师证书</w:t>
            </w:r>
            <w:r>
              <w:rPr>
                <w:rFonts w:hint="eastAsia"/>
                <w:szCs w:val="21"/>
                <w:lang w:eastAsia="zh-CN"/>
              </w:rPr>
              <w:t>、或</w:t>
            </w:r>
            <w:r>
              <w:rPr>
                <w:rFonts w:hint="eastAsia"/>
                <w:szCs w:val="21"/>
              </w:rPr>
              <w:t>国家</w:t>
            </w:r>
            <w:r>
              <w:rPr>
                <w:rFonts w:hint="eastAsia"/>
                <w:szCs w:val="21"/>
                <w:lang w:eastAsia="zh-CN"/>
              </w:rPr>
              <w:t>二</w:t>
            </w:r>
            <w:r>
              <w:rPr>
                <w:rFonts w:hint="eastAsia"/>
                <w:szCs w:val="21"/>
              </w:rPr>
              <w:t>级注册结构工程师证书</w:t>
            </w:r>
            <w:r>
              <w:rPr>
                <w:rFonts w:hint="eastAsia"/>
                <w:szCs w:val="21"/>
                <w:lang w:eastAsia="zh-CN"/>
              </w:rPr>
              <w:t>、或</w:t>
            </w:r>
            <w:r>
              <w:rPr>
                <w:rFonts w:hint="eastAsia"/>
                <w:szCs w:val="21"/>
              </w:rPr>
              <w:t>注册岩土工程师证书</w:t>
            </w:r>
            <w:r>
              <w:rPr>
                <w:rFonts w:hint="eastAsia"/>
                <w:szCs w:val="21"/>
                <w:lang w:eastAsia="zh-CN"/>
              </w:rPr>
              <w:t>、或</w:t>
            </w:r>
            <w:r>
              <w:rPr>
                <w:rFonts w:hint="eastAsia"/>
                <w:szCs w:val="21"/>
              </w:rPr>
              <w:t>中级及以上职称</w:t>
            </w:r>
            <w:r>
              <w:rPr>
                <w:rFonts w:hint="eastAsia"/>
                <w:szCs w:val="21"/>
                <w:highlight w:val="none"/>
                <w:lang w:eastAsia="zh-CN"/>
              </w:rPr>
              <w:t>（</w:t>
            </w:r>
            <w:r>
              <w:rPr>
                <w:rFonts w:hint="eastAsia"/>
                <w:szCs w:val="21"/>
                <w:highlight w:val="none"/>
              </w:rPr>
              <w:t>建筑</w:t>
            </w:r>
            <w:r>
              <w:rPr>
                <w:rFonts w:hint="eastAsia"/>
                <w:szCs w:val="21"/>
                <w:highlight w:val="none"/>
                <w:lang w:eastAsia="zh-CN"/>
              </w:rPr>
              <w:t>结构类专业）</w:t>
            </w:r>
            <w:r>
              <w:rPr>
                <w:rFonts w:hint="eastAsia" w:ascii="宋体" w:hAnsi="宋体"/>
                <w:szCs w:val="21"/>
              </w:rPr>
              <w:t>资格证书，否则本项不得分；在此基础上:</w:t>
            </w:r>
          </w:p>
          <w:p>
            <w:pPr>
              <w:pStyle w:val="4"/>
              <w:keepNext w:val="0"/>
              <w:keepLines w:val="0"/>
              <w:pageBreakBefore w:val="0"/>
              <w:numPr>
                <w:ilvl w:val="0"/>
                <w:numId w:val="1"/>
              </w:numPr>
              <w:kinsoku/>
              <w:overflowPunct/>
              <w:topLinePunct w:val="0"/>
              <w:bidi w:val="0"/>
              <w:snapToGrid/>
              <w:spacing w:line="580" w:lineRule="exact"/>
              <w:ind w:firstLine="0" w:firstLineChars="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人数≥5人，得100%分数；</w:t>
            </w:r>
          </w:p>
          <w:p>
            <w:pPr>
              <w:keepNext w:val="0"/>
              <w:keepLines w:val="0"/>
              <w:pageBreakBefore w:val="0"/>
              <w:widowControl/>
              <w:numPr>
                <w:ilvl w:val="0"/>
                <w:numId w:val="1"/>
              </w:numPr>
              <w:kinsoku/>
              <w:overflowPunct/>
              <w:topLinePunct w:val="0"/>
              <w:bidi w:val="0"/>
              <w:snapToGrid/>
              <w:spacing w:line="580" w:lineRule="exact"/>
              <w:ind w:left="0" w:leftChars="0" w:firstLine="0" w:firstLineChars="0"/>
              <w:textAlignment w:val="auto"/>
              <w:rPr>
                <w:rFonts w:hint="eastAsia" w:ascii="仿宋_GB2312" w:hAnsi="宋体" w:eastAsia="仿宋_GB2312" w:cs="宋体"/>
                <w:sz w:val="24"/>
                <w:szCs w:val="24"/>
              </w:rPr>
            </w:pPr>
            <w:r>
              <w:rPr>
                <w:rFonts w:hint="eastAsia" w:ascii="宋体" w:hAnsi="宋体" w:eastAsia="宋体" w:cs="Times New Roman"/>
                <w:kern w:val="2"/>
                <w:sz w:val="21"/>
                <w:szCs w:val="21"/>
                <w:lang w:val="en-US" w:eastAsia="zh-CN" w:bidi="ar-SA"/>
              </w:rPr>
              <w:t>3人≤人数&lt;5人，</w:t>
            </w:r>
            <w:r>
              <w:rPr>
                <w:rFonts w:hint="eastAsia" w:ascii="宋体" w:hAnsi="宋体" w:eastAsia="宋体" w:cs="Times New Roman"/>
                <w:sz w:val="21"/>
                <w:szCs w:val="21"/>
                <w:lang w:val="en-US" w:eastAsia="zh-CN"/>
              </w:rPr>
              <w:t>得70%分数</w:t>
            </w:r>
            <w:r>
              <w:rPr>
                <w:rFonts w:hint="eastAsia" w:ascii="宋体" w:hAnsi="宋体" w:eastAsia="宋体" w:cs="Times New Roman"/>
                <w:kern w:val="2"/>
                <w:sz w:val="21"/>
                <w:szCs w:val="21"/>
                <w:lang w:val="en-US" w:eastAsia="zh-CN" w:bidi="ar-SA"/>
              </w:rPr>
              <w:t>；</w:t>
            </w:r>
          </w:p>
          <w:p>
            <w:pPr>
              <w:keepNext w:val="0"/>
              <w:keepLines w:val="0"/>
              <w:pageBreakBefore w:val="0"/>
              <w:widowControl/>
              <w:numPr>
                <w:ilvl w:val="0"/>
                <w:numId w:val="1"/>
              </w:numPr>
              <w:kinsoku/>
              <w:overflowPunct/>
              <w:topLinePunct w:val="0"/>
              <w:bidi w:val="0"/>
              <w:snapToGrid/>
              <w:spacing w:line="580" w:lineRule="exact"/>
              <w:ind w:left="0" w:leftChars="0" w:firstLine="0" w:firstLineChars="0"/>
              <w:textAlignment w:val="auto"/>
              <w:rPr>
                <w:rFonts w:ascii="宋体" w:hAnsi="宋体"/>
                <w:szCs w:val="21"/>
              </w:rPr>
            </w:pPr>
            <w:r>
              <w:rPr>
                <w:rFonts w:hint="eastAsia" w:ascii="宋体" w:hAnsi="宋体" w:eastAsia="宋体" w:cs="Times New Roman"/>
                <w:kern w:val="2"/>
                <w:sz w:val="21"/>
                <w:szCs w:val="21"/>
                <w:lang w:val="en-US" w:eastAsia="zh-CN" w:bidi="ar-SA"/>
              </w:rPr>
              <w:t>1人≤人数&lt;3人，</w:t>
            </w:r>
            <w:r>
              <w:rPr>
                <w:rFonts w:hint="eastAsia" w:ascii="宋体" w:hAnsi="宋体" w:eastAsia="宋体" w:cs="Times New Roman"/>
                <w:sz w:val="21"/>
                <w:szCs w:val="21"/>
                <w:lang w:val="en-US" w:eastAsia="zh-CN"/>
              </w:rPr>
              <w:t>得40%分数</w:t>
            </w:r>
            <w:r>
              <w:rPr>
                <w:rFonts w:hint="eastAsia" w:ascii="宋体" w:hAnsi="宋体" w:eastAsia="宋体" w:cs="Times New Roman"/>
                <w:kern w:val="2"/>
                <w:sz w:val="21"/>
                <w:szCs w:val="21"/>
                <w:lang w:val="en-US" w:eastAsia="zh-CN" w:bidi="ar-SA"/>
              </w:rPr>
              <w:t>；</w:t>
            </w:r>
          </w:p>
          <w:p>
            <w:pPr>
              <w:keepNext w:val="0"/>
              <w:keepLines w:val="0"/>
              <w:pageBreakBefore w:val="0"/>
              <w:widowControl/>
              <w:kinsoku/>
              <w:overflowPunct/>
              <w:topLinePunct w:val="0"/>
              <w:bidi w:val="0"/>
              <w:snapToGrid/>
              <w:spacing w:line="580" w:lineRule="exact"/>
              <w:ind w:firstLine="0" w:firstLineChars="0"/>
              <w:jc w:val="left"/>
              <w:textAlignment w:val="auto"/>
              <w:rPr>
                <w:rFonts w:hint="eastAsia" w:ascii="宋体" w:hAnsi="宋体"/>
                <w:szCs w:val="21"/>
              </w:rPr>
            </w:pPr>
            <w:r>
              <w:rPr>
                <w:rFonts w:hint="eastAsia" w:ascii="宋体" w:hAnsi="宋体"/>
                <w:szCs w:val="21"/>
              </w:rPr>
              <w:t>（二）评分依据：</w:t>
            </w:r>
          </w:p>
          <w:p>
            <w:pPr>
              <w:keepNext w:val="0"/>
              <w:keepLines w:val="0"/>
              <w:pageBreakBefore w:val="0"/>
              <w:widowControl/>
              <w:kinsoku/>
              <w:overflowPunct/>
              <w:topLinePunct w:val="0"/>
              <w:bidi w:val="0"/>
              <w:snapToGrid/>
              <w:spacing w:line="580" w:lineRule="exact"/>
              <w:ind w:firstLine="0" w:firstLineChars="0"/>
              <w:jc w:val="left"/>
              <w:textAlignment w:val="auto"/>
              <w:rPr>
                <w:rFonts w:hint="eastAsia" w:ascii="宋体" w:hAnsi="宋体"/>
                <w:szCs w:val="21"/>
              </w:rPr>
            </w:pPr>
            <w:r>
              <w:rPr>
                <w:rFonts w:hint="eastAsia" w:ascii="宋体" w:hAnsi="宋体"/>
                <w:szCs w:val="21"/>
              </w:rPr>
              <w:t>1.</w:t>
            </w:r>
            <w:r>
              <w:rPr>
                <w:rFonts w:hint="eastAsia" w:ascii="宋体" w:hAnsi="宋体" w:eastAsia="宋体" w:cs="Times New Roman"/>
                <w:szCs w:val="21"/>
              </w:rPr>
              <w:t>近三个月（从投标截止当月</w:t>
            </w:r>
            <w:r>
              <w:rPr>
                <w:rFonts w:hint="eastAsia" w:ascii="宋体" w:hAnsi="宋体"/>
                <w:szCs w:val="21"/>
              </w:rPr>
              <w:t>的上一个月开始</w:t>
            </w:r>
            <w:r>
              <w:rPr>
                <w:rFonts w:hint="eastAsia" w:ascii="宋体" w:hAnsi="宋体" w:eastAsia="宋体" w:cs="Times New Roman"/>
                <w:szCs w:val="21"/>
              </w:rPr>
              <w:t>倒推）的社保证明，网页截图或窗口打印资料或社保部门出具的证明均可</w:t>
            </w:r>
            <w:r>
              <w:rPr>
                <w:rFonts w:hint="eastAsia" w:ascii="宋体" w:hAnsi="宋体"/>
                <w:szCs w:val="21"/>
              </w:rPr>
              <w:t>。</w:t>
            </w:r>
          </w:p>
          <w:p>
            <w:pPr>
              <w:keepNext w:val="0"/>
              <w:keepLines w:val="0"/>
              <w:pageBreakBefore w:val="0"/>
              <w:widowControl/>
              <w:kinsoku/>
              <w:overflowPunct/>
              <w:topLinePunct w:val="0"/>
              <w:bidi w:val="0"/>
              <w:snapToGrid/>
              <w:spacing w:line="580" w:lineRule="exact"/>
              <w:ind w:firstLine="0" w:firstLineChars="0"/>
              <w:jc w:val="left"/>
              <w:textAlignment w:val="auto"/>
              <w:rPr>
                <w:rFonts w:hint="eastAsia" w:ascii="宋体" w:hAnsi="宋体"/>
                <w:szCs w:val="21"/>
              </w:rPr>
            </w:pPr>
            <w:r>
              <w:rPr>
                <w:rFonts w:hint="eastAsia" w:ascii="宋体" w:hAnsi="宋体"/>
                <w:szCs w:val="21"/>
              </w:rPr>
              <w:t>2.要求提供资格证书扫描件（原件备查）作为得分依据。</w:t>
            </w:r>
          </w:p>
          <w:p>
            <w:pPr>
              <w:keepNext w:val="0"/>
              <w:keepLines w:val="0"/>
              <w:pageBreakBefore w:val="0"/>
              <w:kinsoku/>
              <w:wordWrap w:val="0"/>
              <w:overflowPunct/>
              <w:topLinePunct w:val="0"/>
              <w:bidi w:val="0"/>
              <w:snapToGrid/>
              <w:spacing w:line="580" w:lineRule="exact"/>
              <w:ind w:firstLine="0" w:firstLineChars="0"/>
              <w:textAlignment w:val="auto"/>
              <w:rPr>
                <w:rFonts w:hint="eastAsia" w:ascii="宋体" w:hAnsi="宋体" w:eastAsia="宋体" w:cs="Times New Roman"/>
                <w:szCs w:val="21"/>
              </w:rPr>
            </w:pPr>
            <w:r>
              <w:rPr>
                <w:rFonts w:hint="eastAsia" w:ascii="宋体" w:hAnsi="宋体"/>
                <w:szCs w:val="21"/>
                <w:lang w:val="en-US" w:eastAsia="zh-CN"/>
              </w:rPr>
              <w:t>3</w:t>
            </w:r>
            <w:r>
              <w:rPr>
                <w:rFonts w:hint="eastAsia" w:ascii="宋体" w:hAnsi="宋体"/>
                <w:szCs w:val="21"/>
              </w:rPr>
              <w:t>.</w:t>
            </w:r>
            <w:r>
              <w:rPr>
                <w:rFonts w:hint="eastAsia" w:ascii="宋体" w:hAnsi="宋体" w:eastAsia="宋体" w:cs="Times New Roman"/>
                <w:szCs w:val="21"/>
              </w:rPr>
              <w:t>以上资料未提供或提供不全，或证明材料未明确反映业绩要求的，不予认可。</w:t>
            </w:r>
          </w:p>
          <w:p>
            <w:pPr>
              <w:keepNext w:val="0"/>
              <w:keepLines w:val="0"/>
              <w:pageBreakBefore w:val="0"/>
              <w:kinsoku/>
              <w:wordWrap w:val="0"/>
              <w:overflowPunct/>
              <w:topLinePunct w:val="0"/>
              <w:bidi w:val="0"/>
              <w:snapToGrid/>
              <w:spacing w:line="580" w:lineRule="exact"/>
              <w:ind w:firstLine="0" w:firstLineChars="0"/>
              <w:textAlignment w:val="auto"/>
              <w:rPr>
                <w:rFonts w:hint="eastAsia"/>
              </w:rPr>
            </w:pPr>
            <w:r>
              <w:rPr>
                <w:rFonts w:hint="eastAsia" w:ascii="宋体" w:hAnsi="宋体" w:eastAsia="宋体" w:cs="Times New Roman"/>
                <w:szCs w:val="21"/>
                <w:lang w:val="en-US" w:eastAsia="zh-CN"/>
              </w:rPr>
              <w:t>4</w:t>
            </w:r>
            <w:r>
              <w:rPr>
                <w:rFonts w:hint="eastAsia" w:ascii="宋体" w:hAnsi="宋体" w:eastAsia="宋体" w:cs="Times New Roman"/>
                <w:szCs w:val="21"/>
              </w:rPr>
              <w:t>.研究员或教授级高级工</w:t>
            </w:r>
            <w:r>
              <w:rPr>
                <w:rFonts w:hint="eastAsia" w:ascii="宋体" w:hAnsi="宋体"/>
                <w:szCs w:val="21"/>
              </w:rPr>
              <w:t>程师为正高级职称；高级工程师为副高级职称；工程师为中级职称；助理工程师为初级职称。</w:t>
            </w:r>
          </w:p>
          <w:p>
            <w:pPr>
              <w:pStyle w:val="7"/>
              <w:keepNext w:val="0"/>
              <w:keepLines w:val="0"/>
              <w:pageBreakBefore w:val="0"/>
              <w:kinsoku/>
              <w:overflowPunct/>
              <w:topLinePunct w:val="0"/>
              <w:bidi w:val="0"/>
              <w:snapToGrid/>
              <w:spacing w:line="580" w:lineRule="exact"/>
              <w:ind w:firstLine="0" w:firstLineChars="0"/>
              <w:textAlignment w:val="auto"/>
              <w:rPr>
                <w:rFonts w:hint="eastAsia"/>
              </w:rPr>
            </w:pPr>
          </w:p>
          <w:p>
            <w:pPr>
              <w:keepNext w:val="0"/>
              <w:keepLines w:val="0"/>
              <w:pageBreakBefore w:val="0"/>
              <w:kinsoku/>
              <w:overflowPunct/>
              <w:topLinePunct w:val="0"/>
              <w:bidi w:val="0"/>
              <w:snapToGrid/>
              <w:spacing w:line="580" w:lineRule="exact"/>
              <w:ind w:firstLine="0" w:firstLineChars="0"/>
              <w:jc w:val="left"/>
              <w:textAlignment w:val="auto"/>
              <w:rPr>
                <w:rFonts w:hint="eastAsia" w:ascii="宋体" w:hAnsi="宋体" w:cs="宋体"/>
                <w:kern w:val="0"/>
                <w:szCs w:val="21"/>
              </w:rPr>
            </w:pPr>
            <w:r>
              <w:rPr>
                <w:rFonts w:hint="eastAsia" w:ascii="宋体" w:hAnsi="宋体"/>
                <w:b/>
                <w:bCs/>
                <w:color w:val="000000"/>
                <w:szCs w:val="21"/>
              </w:rPr>
              <w:t>以上</w:t>
            </w:r>
            <w:r>
              <w:rPr>
                <w:rFonts w:hint="eastAsia" w:ascii="宋体" w:hAnsi="宋体"/>
                <w:b/>
                <w:bCs/>
                <w:color w:val="000000"/>
                <w:szCs w:val="21"/>
                <w:lang w:eastAsia="zh-CN"/>
              </w:rPr>
              <w:t>四</w:t>
            </w:r>
            <w:r>
              <w:rPr>
                <w:rFonts w:hint="eastAsia" w:ascii="宋体" w:hAnsi="宋体"/>
                <w:b/>
                <w:bCs/>
                <w:color w:val="000000"/>
                <w:szCs w:val="21"/>
              </w:rPr>
              <w:t>项累计计分，各项须提供相关的证明材料（均为扫描件，原件备查）作为得分依据。</w:t>
            </w:r>
          </w:p>
        </w:tc>
      </w:tr>
    </w:tbl>
    <w:p>
      <w:pPr>
        <w:keepNext w:val="0"/>
        <w:keepLines w:val="0"/>
        <w:pageBreakBefore w:val="0"/>
        <w:kinsoku/>
        <w:overflowPunct/>
        <w:topLinePunct w:val="0"/>
        <w:bidi w:val="0"/>
        <w:snapToGrid/>
        <w:spacing w:before="156" w:beforeLines="50" w:after="156" w:afterLines="50" w:line="580" w:lineRule="exact"/>
        <w:ind w:firstLine="0" w:firstLineChars="0"/>
        <w:textAlignment w:val="auto"/>
        <w:rPr>
          <w:rFonts w:hint="eastAsia" w:ascii="宋体" w:hAnsi="宋体"/>
          <w:b/>
          <w:sz w:val="28"/>
          <w:szCs w:val="28"/>
        </w:rPr>
      </w:pPr>
    </w:p>
    <w:p>
      <w:pPr>
        <w:pStyle w:val="2"/>
        <w:keepNext w:val="0"/>
        <w:keepLines w:val="0"/>
        <w:pageBreakBefore w:val="0"/>
        <w:kinsoku/>
        <w:overflowPunct/>
        <w:topLinePunct w:val="0"/>
        <w:bidi w:val="0"/>
        <w:snapToGrid/>
        <w:spacing w:line="580" w:lineRule="exact"/>
        <w:ind w:firstLine="0" w:firstLineChars="0"/>
        <w:textAlignment w:val="auto"/>
        <w:rPr>
          <w:rFonts w:hint="eastAsia" w:ascii="宋体" w:hAnsi="宋体"/>
          <w:b/>
          <w:sz w:val="28"/>
          <w:szCs w:val="28"/>
        </w:rPr>
      </w:pPr>
    </w:p>
    <w:p>
      <w:pPr>
        <w:pStyle w:val="3"/>
        <w:keepNext w:val="0"/>
        <w:keepLines w:val="0"/>
        <w:pageBreakBefore w:val="0"/>
        <w:kinsoku/>
        <w:overflowPunct/>
        <w:topLinePunct w:val="0"/>
        <w:bidi w:val="0"/>
        <w:snapToGrid/>
        <w:spacing w:line="580" w:lineRule="exact"/>
        <w:ind w:firstLine="0" w:firstLineChars="0"/>
        <w:textAlignment w:val="auto"/>
        <w:rPr>
          <w:rFonts w:hint="eastAsia" w:ascii="宋体" w:hAnsi="宋体"/>
          <w:b/>
          <w:sz w:val="28"/>
          <w:szCs w:val="28"/>
        </w:rPr>
      </w:pPr>
    </w:p>
    <w:p>
      <w:pPr>
        <w:pStyle w:val="3"/>
        <w:keepNext w:val="0"/>
        <w:keepLines w:val="0"/>
        <w:pageBreakBefore w:val="0"/>
        <w:kinsoku/>
        <w:overflowPunct/>
        <w:topLinePunct w:val="0"/>
        <w:bidi w:val="0"/>
        <w:snapToGrid/>
        <w:spacing w:line="580" w:lineRule="exact"/>
        <w:ind w:firstLine="0" w:firstLineChars="0"/>
        <w:textAlignment w:val="auto"/>
        <w:rPr>
          <w:rFonts w:hint="eastAsia" w:ascii="宋体" w:hAnsi="宋体"/>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36CD1"/>
    <w:multiLevelType w:val="singleLevel"/>
    <w:tmpl w:val="F8736CD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MGQ0ZWJmMWE2ZTRjMDBjNmQwMjAzZGI1NDA2M2YifQ=="/>
  </w:docVars>
  <w:rsids>
    <w:rsidRoot w:val="373D0D41"/>
    <w:rsid w:val="373D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4">
    <w:name w:val="Balloon Text"/>
    <w:basedOn w:val="1"/>
    <w:unhideWhenUsed/>
    <w:qFormat/>
    <w:uiPriority w:val="99"/>
    <w:rPr>
      <w:sz w:val="18"/>
      <w:szCs w:val="18"/>
    </w:rPr>
  </w:style>
  <w:style w:type="paragraph" w:customStyle="1" w:styleId="7">
    <w:name w:val="Normal Indent1"/>
    <w:basedOn w:val="1"/>
    <w:autoRedefine/>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2024-05-17T02:47:00Z</dcterms:created>
  <dc:creator>Hsl</dc:creator>
  <cp:lastModifiedBy>Hsl</cp:lastModifiedBy>
  <dcterms:modified xsi:type="dcterms:W3CDTF">2024-05-17T02:48:24Z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9E381B356B7448B4BE840329727C429C_11</vt:lpwstr>
  </property>
</Properties>
</file>