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highlight w:val="none"/>
        </w:rPr>
      </w:pPr>
      <w:r>
        <w:rPr>
          <w:rFonts w:hint="eastAsia" w:eastAsia="黑体"/>
          <w:sz w:val="32"/>
          <w:szCs w:val="32"/>
          <w:highlight w:val="none"/>
        </w:rPr>
        <w:t>附件</w:t>
      </w:r>
      <w:r>
        <w:rPr>
          <w:rFonts w:eastAsia="黑体"/>
          <w:sz w:val="32"/>
          <w:szCs w:val="32"/>
          <w:highlight w:val="none"/>
        </w:rPr>
        <w:t>1</w:t>
      </w:r>
      <w:r>
        <w:rPr>
          <w:rFonts w:hint="eastAsia" w:eastAsia="黑体"/>
          <w:sz w:val="32"/>
          <w:szCs w:val="32"/>
          <w:highlight w:val="none"/>
        </w:rPr>
        <w:t>：</w:t>
      </w:r>
    </w:p>
    <w:p>
      <w:pPr>
        <w:jc w:val="center"/>
        <w:rPr>
          <w:rFonts w:eastAsia="黑体"/>
          <w:sz w:val="44"/>
          <w:szCs w:val="32"/>
          <w:highlight w:val="none"/>
        </w:rPr>
      </w:pPr>
      <w:r>
        <w:rPr>
          <w:rFonts w:hint="eastAsia" w:eastAsia="黑体"/>
          <w:sz w:val="44"/>
          <w:szCs w:val="32"/>
          <w:highlight w:val="none"/>
        </w:rPr>
        <w:t>项目需求书</w:t>
      </w:r>
    </w:p>
    <w:tbl>
      <w:tblPr>
        <w:tblStyle w:val="5"/>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28"/>
        <w:gridCol w:w="3972"/>
        <w:gridCol w:w="1330"/>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项目名称</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ighlight w:val="none"/>
                <w:lang w:val="en-US"/>
              </w:rPr>
            </w:pPr>
            <w:r>
              <w:rPr>
                <w:rFonts w:hint="eastAsia"/>
                <w:highlight w:val="none"/>
                <w:lang w:val="en-US" w:eastAsia="zh-CN"/>
              </w:rPr>
              <w:t>“悦读行走，书香少年”深圳市中小学生研学实践活动（西部路线）</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采购类型</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采购人名称</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深圳市教育局</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采购方式</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财政预算限额（元）</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highlight w:val="none"/>
                <w:lang w:val="en-US" w:eastAsia="zh-CN"/>
              </w:rPr>
            </w:pPr>
            <w:r>
              <w:rPr>
                <w:rFonts w:hint="eastAsia" w:ascii="CESI仿宋-GB2312" w:hAnsi="CESI仿宋-GB2312" w:eastAsia="CESI仿宋-GB2312" w:cs="CESI仿宋-GB2312"/>
                <w:color w:val="auto"/>
                <w:sz w:val="32"/>
                <w:szCs w:val="32"/>
                <w:highlight w:val="none"/>
                <w:lang w:val="en-US" w:eastAsia="zh-CN"/>
              </w:rPr>
              <w:t>224960</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4"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highlight w:val="none"/>
              </w:rPr>
              <w:t>项目背景</w:t>
            </w:r>
          </w:p>
        </w:tc>
        <w:tc>
          <w:tcPr>
            <w:tcW w:w="7100" w:type="dxa"/>
            <w:gridSpan w:val="3"/>
            <w:tcBorders>
              <w:top w:val="single" w:color="auto" w:sz="4" w:space="0"/>
              <w:left w:val="single" w:color="auto" w:sz="4" w:space="0"/>
              <w:bottom w:val="single" w:color="auto" w:sz="4" w:space="0"/>
              <w:right w:val="single" w:color="auto" w:sz="4" w:space="0"/>
            </w:tcBorders>
            <w:noWrap w:val="0"/>
            <w:vAlign w:val="center"/>
          </w:tcPr>
          <w:p>
            <w:pPr>
              <w:pStyle w:val="4"/>
              <w:rPr>
                <w:rFonts w:hAnsi="宋体" w:cs="宋体"/>
                <w:kern w:val="0"/>
                <w:szCs w:val="21"/>
                <w:highlight w:val="none"/>
              </w:rPr>
            </w:pPr>
            <w:r>
              <w:rPr>
                <w:rFonts w:hint="eastAsia" w:hAnsi="宋体" w:cs="宋体"/>
                <w:kern w:val="0"/>
                <w:sz w:val="21"/>
                <w:szCs w:val="21"/>
                <w:highlight w:val="none"/>
                <w:lang w:val="en-US" w:eastAsia="zh-CN" w:bidi="ar-SA"/>
              </w:rPr>
              <w:t>党的二十大报告提出要“深化全民阅读活动”。为贯彻落实党的二十大精神，推进教育部关于“把开展读书活动作为一件大事来抓”的工作要点，创新全民阅读推广形式，奋力打造高品位、示范性的阅读研学实践活动品牌，深圳市教育局拟开展深圳市首届学生阅读节系列活动之“悦读行走，书香少年”深圳市中小学生研学实践活动</w:t>
            </w:r>
            <w:r>
              <w:rPr>
                <w:rFonts w:hint="eastAsia"/>
                <w:highlight w:val="none"/>
                <w:lang w:val="en-US" w:eastAsia="zh-CN"/>
              </w:rPr>
              <w:t>（西部路线）</w:t>
            </w:r>
            <w:r>
              <w:rPr>
                <w:rFonts w:hint="eastAsia" w:hAnsi="宋体" w:cs="宋体"/>
                <w:kern w:val="0"/>
                <w:sz w:val="21"/>
                <w:szCs w:val="21"/>
                <w:highlight w:val="none"/>
                <w:lang w:val="en-US" w:eastAsia="zh-CN" w:bidi="ar-SA"/>
              </w:rPr>
              <w:t>。活动以创新的阅读研学为载体，通过组织学生开展阅读、研学及写作活动，将“行”“读”“写”有效结合，引导学生爱读书、读好书、善读书，践行“读万卷书，行万里路”理念，促进学生在阅读与实践中增强文化认同感和民族自豪感，推动综合实践育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kern w:val="0"/>
                <w:szCs w:val="21"/>
                <w:highlight w:val="none"/>
              </w:rPr>
              <w:t>投标人资质要求</w:t>
            </w:r>
          </w:p>
        </w:tc>
        <w:tc>
          <w:tcPr>
            <w:tcW w:w="8228" w:type="dxa"/>
            <w:gridSpan w:val="4"/>
            <w:tcBorders>
              <w:top w:val="single" w:color="auto" w:sz="4" w:space="0"/>
              <w:left w:val="single" w:color="auto" w:sz="4" w:space="0"/>
              <w:bottom w:val="single" w:color="auto" w:sz="4" w:space="0"/>
              <w:right w:val="single" w:color="auto" w:sz="4" w:space="0"/>
            </w:tcBorders>
            <w:noWrap w:val="0"/>
            <w:vAlign w:val="top"/>
          </w:tcPr>
          <w:p>
            <w:pPr>
              <w:pStyle w:val="4"/>
              <w:spacing w:beforeLines="25" w:afterLines="25"/>
              <w:ind w:firstLine="392" w:firstLineChars="187"/>
              <w:rPr>
                <w:szCs w:val="21"/>
                <w:highlight w:val="none"/>
              </w:rPr>
            </w:pPr>
            <w:r>
              <w:rPr>
                <w:szCs w:val="21"/>
                <w:highlight w:val="none"/>
              </w:rPr>
              <w:t>1.</w:t>
            </w:r>
            <w:r>
              <w:rPr>
                <w:rFonts w:hint="eastAsia"/>
                <w:szCs w:val="21"/>
                <w:highlight w:val="none"/>
              </w:rPr>
              <w:t>满足《中华人民共和国政府采购法》第二十二条规定（供应商提供营业执照或事业单位法人证等法人证明扫描件以及《政府采购投标及履约承诺函》，原件备查）。</w:t>
            </w:r>
          </w:p>
          <w:p>
            <w:pPr>
              <w:pStyle w:val="4"/>
              <w:spacing w:beforeLines="25" w:afterLines="25"/>
              <w:ind w:firstLine="392" w:firstLineChars="187"/>
              <w:rPr>
                <w:szCs w:val="21"/>
                <w:highlight w:val="none"/>
              </w:rPr>
            </w:pPr>
            <w:r>
              <w:rPr>
                <w:szCs w:val="21"/>
                <w:highlight w:val="none"/>
              </w:rPr>
              <w:t>2.</w:t>
            </w:r>
            <w:r>
              <w:rPr>
                <w:rFonts w:hint="eastAsia"/>
                <w:szCs w:val="21"/>
                <w:highlight w:val="none"/>
              </w:rPr>
              <w:t>本项目的特定资格要求：</w:t>
            </w:r>
          </w:p>
          <w:p>
            <w:pPr>
              <w:pStyle w:val="4"/>
              <w:spacing w:beforeLines="25" w:afterLines="25"/>
              <w:ind w:firstLine="392" w:firstLineChars="187"/>
              <w:rPr>
                <w:szCs w:val="21"/>
                <w:highlight w:val="none"/>
              </w:rPr>
            </w:pPr>
            <w:r>
              <w:rPr>
                <w:rFonts w:hint="eastAsia"/>
                <w:szCs w:val="21"/>
                <w:highlight w:val="none"/>
              </w:rPr>
              <w:t>（</w:t>
            </w:r>
            <w:r>
              <w:rPr>
                <w:szCs w:val="21"/>
                <w:highlight w:val="none"/>
              </w:rPr>
              <w:t>1</w:t>
            </w:r>
            <w:r>
              <w:rPr>
                <w:rFonts w:hint="eastAsia"/>
                <w:szCs w:val="21"/>
                <w:highlight w:val="none"/>
              </w:rPr>
              <w:t>）本项目不属于专门面向特定企业（单位）的采购项目。</w:t>
            </w:r>
          </w:p>
          <w:p>
            <w:pPr>
              <w:pStyle w:val="4"/>
              <w:spacing w:beforeLines="25" w:afterLines="25"/>
              <w:ind w:firstLine="392" w:firstLineChars="187"/>
              <w:rPr>
                <w:rFonts w:hint="eastAsia" w:eastAsia="宋体"/>
                <w:szCs w:val="21"/>
                <w:highlight w:val="none"/>
              </w:rPr>
            </w:pPr>
            <w:r>
              <w:rPr>
                <w:rFonts w:hint="eastAsia"/>
                <w:szCs w:val="21"/>
                <w:highlight w:val="none"/>
              </w:rPr>
              <w:t>（</w:t>
            </w:r>
            <w:r>
              <w:rPr>
                <w:szCs w:val="21"/>
                <w:highlight w:val="none"/>
              </w:rPr>
              <w:t>2</w:t>
            </w:r>
            <w:r>
              <w:rPr>
                <w:rFonts w:hint="eastAsia"/>
                <w:szCs w:val="21"/>
                <w:highlight w:val="none"/>
              </w:rPr>
              <w:t>）</w:t>
            </w:r>
            <w:r>
              <w:rPr>
                <w:rFonts w:hint="eastAsia" w:eastAsia="宋体"/>
                <w:szCs w:val="21"/>
                <w:highlight w:val="none"/>
              </w:rPr>
              <w:t>须</w:t>
            </w:r>
            <w:r>
              <w:rPr>
                <w:rFonts w:hint="eastAsia" w:eastAsia="宋体"/>
                <w:szCs w:val="21"/>
                <w:highlight w:val="none"/>
                <w:lang w:eastAsia="zh-CN"/>
              </w:rPr>
              <w:t>具有</w:t>
            </w:r>
            <w:r>
              <w:rPr>
                <w:rFonts w:hint="eastAsia" w:eastAsia="宋体"/>
                <w:szCs w:val="21"/>
                <w:highlight w:val="none"/>
                <w:lang w:val="en-US" w:eastAsia="zh-CN"/>
              </w:rPr>
              <w:t>旅行社业务经营许可证</w:t>
            </w:r>
            <w:r>
              <w:rPr>
                <w:rFonts w:hint="eastAsia" w:eastAsia="宋体"/>
                <w:szCs w:val="21"/>
                <w:highlight w:val="none"/>
              </w:rPr>
              <w:t>。</w:t>
            </w:r>
          </w:p>
          <w:p>
            <w:pPr>
              <w:pStyle w:val="4"/>
              <w:spacing w:beforeLines="25" w:afterLines="25"/>
              <w:ind w:firstLine="392" w:firstLineChars="187"/>
              <w:rPr>
                <w:rFonts w:hint="eastAsia" w:eastAsia="宋体"/>
                <w:szCs w:val="21"/>
                <w:highlight w:val="none"/>
                <w:lang w:eastAsia="zh-CN"/>
              </w:rPr>
            </w:pPr>
            <w:r>
              <w:rPr>
                <w:rFonts w:hint="eastAsia"/>
                <w:szCs w:val="21"/>
                <w:highlight w:val="none"/>
              </w:rPr>
              <w:t>（</w:t>
            </w:r>
            <w:r>
              <w:rPr>
                <w:szCs w:val="21"/>
                <w:highlight w:val="none"/>
              </w:rPr>
              <w:t>3</w:t>
            </w:r>
            <w:r>
              <w:rPr>
                <w:rFonts w:hint="eastAsia"/>
                <w:szCs w:val="21"/>
                <w:highlight w:val="none"/>
              </w:rPr>
              <w:t>）投标人须是在中华人民共和国境内注册，具有独立法人资格或是具有独立承担民事责任的能力的其它组织（提供营业执照扫描件或事业单位法人证等法人证明扫描件，原件备查）</w:t>
            </w:r>
            <w:r>
              <w:rPr>
                <w:rFonts w:hint="eastAsia"/>
                <w:szCs w:val="21"/>
                <w:highlight w:val="none"/>
                <w:lang w:eastAsia="zh-CN"/>
              </w:rPr>
              <w:t>。</w:t>
            </w:r>
          </w:p>
          <w:p>
            <w:pPr>
              <w:pStyle w:val="4"/>
              <w:spacing w:beforeLines="25" w:afterLines="25"/>
              <w:ind w:firstLine="392" w:firstLineChars="187"/>
              <w:rPr>
                <w:szCs w:val="21"/>
                <w:highlight w:val="none"/>
              </w:rPr>
            </w:pPr>
            <w:r>
              <w:rPr>
                <w:rFonts w:hint="eastAsia"/>
                <w:szCs w:val="21"/>
                <w:highlight w:val="none"/>
              </w:rPr>
              <w:t>（</w:t>
            </w:r>
            <w:r>
              <w:rPr>
                <w:szCs w:val="21"/>
                <w:highlight w:val="none"/>
              </w:rPr>
              <w:t>4</w:t>
            </w:r>
            <w:r>
              <w:rPr>
                <w:rFonts w:hint="eastAsia"/>
                <w:szCs w:val="21"/>
                <w:highlight w:val="none"/>
              </w:rPr>
              <w:t>）投标人及其法定代表人参与本项目投标前三年内（投标人成立不足三年的可从成立之日起算），无行贿犯罪记录及在经营活动中没有重大违法记录（由投标人在《政府采购投标及履约承诺函》中作出声明）。</w:t>
            </w:r>
          </w:p>
          <w:p>
            <w:pPr>
              <w:pStyle w:val="4"/>
              <w:spacing w:beforeLines="25" w:afterLines="25"/>
              <w:ind w:firstLine="392" w:firstLineChars="187"/>
              <w:rPr>
                <w:szCs w:val="21"/>
                <w:highlight w:val="none"/>
              </w:rPr>
            </w:pPr>
            <w:r>
              <w:rPr>
                <w:rFonts w:hint="eastAsia"/>
                <w:szCs w:val="21"/>
                <w:highlight w:val="none"/>
              </w:rPr>
              <w:t>（</w:t>
            </w:r>
            <w:r>
              <w:rPr>
                <w:szCs w:val="21"/>
                <w:highlight w:val="none"/>
              </w:rPr>
              <w:t>5</w:t>
            </w:r>
            <w:r>
              <w:rPr>
                <w:rFonts w:hint="eastAsia"/>
                <w:szCs w:val="21"/>
                <w:highlight w:val="none"/>
              </w:rPr>
              <w:t>）参与本项目政府采购活动时不存在被有关部门禁止参与政府采购活动且在有效期内的情况（由投标人在《政府采购投标及履约承诺函》中作出声明）。</w:t>
            </w:r>
          </w:p>
          <w:p>
            <w:pPr>
              <w:pStyle w:val="4"/>
              <w:spacing w:beforeLines="25" w:afterLines="25"/>
              <w:ind w:firstLine="392" w:firstLineChars="187"/>
              <w:rPr>
                <w:szCs w:val="21"/>
                <w:highlight w:val="none"/>
              </w:rPr>
            </w:pPr>
            <w:r>
              <w:rPr>
                <w:rFonts w:hint="eastAsia"/>
                <w:szCs w:val="21"/>
                <w:highlight w:val="none"/>
              </w:rPr>
              <w:t>（</w:t>
            </w:r>
            <w:r>
              <w:rPr>
                <w:szCs w:val="21"/>
                <w:highlight w:val="none"/>
              </w:rPr>
              <w:t>6</w:t>
            </w:r>
            <w:r>
              <w:rPr>
                <w:rFonts w:hint="eastAsia"/>
                <w:szCs w:val="21"/>
                <w:highlight w:val="none"/>
              </w:rPr>
              <w:t>）未被列入失信被执行人、重大税收违法案件当事人名单、政府采购严重违法失信行为记录名单（由供应商在《政府采购投标及履约承诺函》中作出声明）。</w:t>
            </w:r>
          </w:p>
          <w:p>
            <w:pPr>
              <w:pStyle w:val="4"/>
              <w:spacing w:beforeLines="25" w:afterLines="25"/>
              <w:ind w:firstLine="392" w:firstLineChars="187"/>
              <w:rPr>
                <w:szCs w:val="21"/>
                <w:highlight w:val="none"/>
              </w:rPr>
            </w:pPr>
            <w:r>
              <w:rPr>
                <w:rFonts w:hint="eastAsia"/>
                <w:szCs w:val="21"/>
                <w:highlight w:val="none"/>
              </w:rPr>
              <w:t>（</w:t>
            </w:r>
            <w:r>
              <w:rPr>
                <w:szCs w:val="21"/>
                <w:highlight w:val="none"/>
              </w:rPr>
              <w:t>7</w:t>
            </w:r>
            <w:r>
              <w:rPr>
                <w:rFonts w:hint="eastAsia"/>
                <w:szCs w:val="21"/>
                <w:highlight w:val="none"/>
              </w:rPr>
              <w:t>）本项目不接受联合体投标，不允许转包。</w:t>
            </w:r>
          </w:p>
          <w:p>
            <w:pPr>
              <w:pStyle w:val="4"/>
              <w:spacing w:beforeLines="25" w:afterLines="25"/>
              <w:rPr>
                <w:rFonts w:hint="eastAsia" w:ascii="宋体" w:hAnsi="宋体" w:eastAsia="宋体"/>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kern w:val="0"/>
                <w:szCs w:val="21"/>
                <w:highlight w:val="none"/>
              </w:rPr>
            </w:pPr>
            <w:r>
              <w:rPr>
                <w:rFonts w:hint="eastAsia"/>
                <w:kern w:val="0"/>
                <w:szCs w:val="21"/>
                <w:highlight w:val="none"/>
              </w:rPr>
              <w:t>货货物清单</w:t>
            </w:r>
          </w:p>
        </w:tc>
        <w:tc>
          <w:tcPr>
            <w:tcW w:w="8228" w:type="dxa"/>
            <w:gridSpan w:val="4"/>
            <w:tcBorders>
              <w:top w:val="single" w:color="auto" w:sz="4" w:space="0"/>
              <w:left w:val="single" w:color="auto" w:sz="4" w:space="0"/>
              <w:bottom w:val="single" w:color="auto" w:sz="4" w:space="0"/>
              <w:right w:val="single" w:color="auto" w:sz="4" w:space="0"/>
            </w:tcBorders>
            <w:noWrap w:val="0"/>
            <w:vAlign w:val="center"/>
          </w:tcPr>
          <w:tbl>
            <w:tblPr>
              <w:tblStyle w:val="5"/>
              <w:tblW w:w="6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3"/>
              <w:gridCol w:w="2222"/>
              <w:gridCol w:w="647"/>
              <w:gridCol w:w="629"/>
              <w:gridCol w:w="81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rFonts w:hint="eastAsia"/>
                      <w:bCs/>
                      <w:szCs w:val="21"/>
                      <w:highlight w:val="none"/>
                    </w:rPr>
                    <w:t>序号</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rFonts w:hint="eastAsia"/>
                      <w:bCs/>
                      <w:szCs w:val="21"/>
                      <w:highlight w:val="none"/>
                    </w:rPr>
                    <w:t>需求内容</w:t>
                  </w:r>
                </w:p>
              </w:tc>
              <w:tc>
                <w:tcPr>
                  <w:tcW w:w="647"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rFonts w:hint="eastAsia"/>
                      <w:bCs/>
                      <w:szCs w:val="21"/>
                      <w:highlight w:val="none"/>
                    </w:rPr>
                    <w:t>数量</w:t>
                  </w:r>
                </w:p>
              </w:tc>
              <w:tc>
                <w:tcPr>
                  <w:tcW w:w="629"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rFonts w:hint="eastAsia"/>
                      <w:bCs/>
                      <w:szCs w:val="21"/>
                      <w:highlight w:val="none"/>
                    </w:rPr>
                    <w:t>单位</w:t>
                  </w:r>
                </w:p>
              </w:tc>
              <w:tc>
                <w:tcPr>
                  <w:tcW w:w="811"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rFonts w:hint="eastAsia"/>
                      <w:bCs/>
                      <w:szCs w:val="21"/>
                      <w:highlight w:val="none"/>
                    </w:rPr>
                    <w:t>备注</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rFonts w:hint="eastAsia"/>
                      <w:bCs/>
                      <w:szCs w:val="21"/>
                      <w:highlight w:val="none"/>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bCs/>
                      <w:szCs w:val="21"/>
                      <w:highlight w:val="none"/>
                    </w:rPr>
                    <w:t>1</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Cs w:val="21"/>
                      <w:highlight w:val="none"/>
                      <w:lang w:val="en-US" w:eastAsia="zh-CN"/>
                    </w:rPr>
                  </w:pPr>
                  <w:r>
                    <w:rPr>
                      <w:rFonts w:hint="eastAsia"/>
                      <w:highlight w:val="none"/>
                      <w:lang w:val="en-US" w:eastAsia="zh-CN"/>
                    </w:rPr>
                    <w:t>“悦读行走，书香少年”深圳市中小学生研学实践活动（西部路线）的服务项目</w:t>
                  </w:r>
                </w:p>
              </w:tc>
              <w:tc>
                <w:tcPr>
                  <w:tcW w:w="647"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bCs/>
                      <w:szCs w:val="21"/>
                      <w:highlight w:val="none"/>
                    </w:rPr>
                    <w:t>1</w:t>
                  </w:r>
                </w:p>
              </w:tc>
              <w:tc>
                <w:tcPr>
                  <w:tcW w:w="629"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r>
                    <w:rPr>
                      <w:rFonts w:hint="eastAsia"/>
                      <w:bCs/>
                      <w:szCs w:val="21"/>
                      <w:highlight w:val="none"/>
                    </w:rPr>
                    <w:t>项</w:t>
                  </w:r>
                </w:p>
              </w:tc>
              <w:tc>
                <w:tcPr>
                  <w:tcW w:w="811" w:type="dxa"/>
                  <w:tcBorders>
                    <w:top w:val="single" w:color="auto" w:sz="4" w:space="0"/>
                    <w:left w:val="single" w:color="auto" w:sz="4" w:space="0"/>
                    <w:bottom w:val="single" w:color="auto" w:sz="4" w:space="0"/>
                    <w:right w:val="single" w:color="auto" w:sz="4" w:space="0"/>
                  </w:tcBorders>
                  <w:noWrap w:val="0"/>
                  <w:vAlign w:val="center"/>
                </w:tcPr>
                <w:p>
                  <w:pPr>
                    <w:jc w:val="center"/>
                    <w:rPr>
                      <w:bCs/>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Cs w:val="21"/>
                      <w:highlight w:val="none"/>
                      <w:lang w:val="en-US" w:eastAsia="zh-CN"/>
                    </w:rPr>
                  </w:pPr>
                  <w:r>
                    <w:rPr>
                      <w:rFonts w:hint="eastAsia" w:ascii="CESI仿宋-GB2312" w:hAnsi="CESI仿宋-GB2312" w:eastAsia="CESI仿宋-GB2312" w:cs="CESI仿宋-GB2312"/>
                      <w:color w:val="auto"/>
                      <w:sz w:val="32"/>
                      <w:szCs w:val="32"/>
                      <w:highlight w:val="none"/>
                      <w:lang w:val="en-US" w:eastAsia="zh-CN"/>
                    </w:rPr>
                    <w:t>224960</w:t>
                  </w:r>
                </w:p>
              </w:tc>
            </w:tr>
          </w:tbl>
          <w:p>
            <w:pPr>
              <w:widowControl/>
              <w:jc w:val="center"/>
              <w:rPr>
                <w:rFonts w:eastAsia="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2"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rPr>
                <w:kern w:val="0"/>
                <w:szCs w:val="21"/>
                <w:highlight w:val="none"/>
              </w:rPr>
            </w:pPr>
            <w:r>
              <w:rPr>
                <w:rFonts w:hint="eastAsia"/>
                <w:kern w:val="0"/>
                <w:szCs w:val="21"/>
                <w:highlight w:val="none"/>
              </w:rPr>
              <w:t>具体技术要求</w:t>
            </w:r>
          </w:p>
        </w:tc>
        <w:tc>
          <w:tcPr>
            <w:tcW w:w="8228" w:type="dxa"/>
            <w:gridSpan w:val="4"/>
            <w:tcBorders>
              <w:top w:val="single" w:color="auto" w:sz="4" w:space="0"/>
              <w:left w:val="single" w:color="auto" w:sz="4" w:space="0"/>
              <w:bottom w:val="single" w:color="auto" w:sz="4" w:space="0"/>
              <w:right w:val="single" w:color="auto" w:sz="4" w:space="0"/>
            </w:tcBorders>
            <w:noWrap w:val="0"/>
            <w:vAlign w:val="top"/>
          </w:tcPr>
          <w:p>
            <w:pPr>
              <w:spacing w:beforeLines="50" w:afterLines="50"/>
              <w:ind w:firstLine="422"/>
              <w:rPr>
                <w:rFonts w:ascii="宋体" w:hAnsi="宋体" w:cs="宋体"/>
                <w:b/>
                <w:highlight w:val="none"/>
              </w:rPr>
            </w:pPr>
            <w:r>
              <w:rPr>
                <w:rFonts w:hint="eastAsia" w:ascii="宋体" w:hAnsi="宋体" w:cs="宋体"/>
                <w:b/>
                <w:highlight w:val="none"/>
              </w:rPr>
              <w:t>一、工作目标</w:t>
            </w:r>
          </w:p>
          <w:p>
            <w:pPr>
              <w:spacing w:beforeLines="50"/>
              <w:ind w:firstLine="420"/>
              <w:rPr>
                <w:rFonts w:hint="default" w:ascii="宋体" w:hAnsi="宋体" w:cs="宋体"/>
                <w:highlight w:val="none"/>
                <w:lang w:val="en-US"/>
              </w:rPr>
            </w:pPr>
            <w:r>
              <w:rPr>
                <w:rFonts w:hint="eastAsia"/>
                <w:highlight w:val="none"/>
                <w:lang w:val="en-US" w:eastAsia="zh-CN"/>
              </w:rPr>
              <w:t>承接“悦读行走，书香少年”深圳市中小学生研学实践活动（西部路线）服务项目。</w:t>
            </w:r>
          </w:p>
          <w:p>
            <w:pPr>
              <w:spacing w:beforeLines="50" w:afterLines="50"/>
              <w:ind w:firstLine="422"/>
              <w:rPr>
                <w:rFonts w:ascii="宋体" w:hAnsi="宋体" w:cs="宋体"/>
                <w:b/>
                <w:highlight w:val="none"/>
              </w:rPr>
            </w:pPr>
            <w:r>
              <w:rPr>
                <w:rFonts w:hint="eastAsia" w:ascii="宋体" w:hAnsi="宋体" w:cs="宋体"/>
                <w:b/>
                <w:highlight w:val="none"/>
              </w:rPr>
              <w:t>二、项目内容</w:t>
            </w:r>
          </w:p>
          <w:p>
            <w:pPr>
              <w:spacing w:beforeLines="50"/>
              <w:ind w:firstLine="420"/>
              <w:rPr>
                <w:rFonts w:hint="eastAsia"/>
                <w:highlight w:val="none"/>
                <w:lang w:val="en-US" w:eastAsia="zh-CN"/>
              </w:rPr>
            </w:pPr>
            <w:r>
              <w:rPr>
                <w:rFonts w:hint="eastAsia"/>
                <w:highlight w:val="none"/>
                <w:lang w:val="en-US" w:eastAsia="zh-CN"/>
              </w:rPr>
              <w:t>（一）任务内容：服务单位在市教育局指导下于2023年12月，利用周末时间，组织400名学生按照西部路线（共2条，学生任选1条）开展研学实践活动，分为8组，每组50人，时长1天。服务单位须提供活动租车、学生午餐（午餐标准不低于30元）、饮用水和零食、随队医疗保障、活动宣传等服务，还须做好研学路线各场所的沟通联络工作，每组配备不少于2名带队教师，提供讲解服务，服务单位要结合路线实际情况制定安全应急预案，为参加活动师生购买保险，要对带队老师进行安全应急培训，确保活动安全。</w:t>
            </w:r>
          </w:p>
          <w:p>
            <w:pPr>
              <w:spacing w:beforeLines="50"/>
              <w:ind w:firstLine="420"/>
              <w:rPr>
                <w:rFonts w:hint="eastAsia"/>
                <w:highlight w:val="none"/>
                <w:lang w:val="en-US" w:eastAsia="zh-CN"/>
              </w:rPr>
            </w:pPr>
            <w:r>
              <w:rPr>
                <w:rFonts w:hint="eastAsia"/>
                <w:highlight w:val="none"/>
                <w:lang w:val="en-US" w:eastAsia="zh-CN"/>
              </w:rPr>
              <w:t>（二）西部路线：</w:t>
            </w:r>
          </w:p>
          <w:p>
            <w:pPr>
              <w:spacing w:beforeLines="50"/>
              <w:ind w:firstLine="420"/>
              <w:rPr>
                <w:rFonts w:hint="eastAsia"/>
                <w:highlight w:val="none"/>
                <w:lang w:val="en-US" w:eastAsia="zh-CN"/>
              </w:rPr>
            </w:pPr>
            <w:r>
              <w:rPr>
                <w:rFonts w:hint="eastAsia"/>
                <w:highlight w:val="none"/>
                <w:lang w:val="en-US" w:eastAsia="zh-CN"/>
              </w:rPr>
              <w:t>1.平安国际金融中心——赤湾左炮台——南头古城。</w:t>
            </w:r>
          </w:p>
          <w:p>
            <w:pPr>
              <w:spacing w:beforeLines="50"/>
              <w:ind w:firstLine="420"/>
              <w:rPr>
                <w:rFonts w:hint="eastAsia"/>
                <w:highlight w:val="none"/>
                <w:lang w:val="en-US" w:eastAsia="zh-CN"/>
              </w:rPr>
            </w:pPr>
            <w:r>
              <w:rPr>
                <w:rFonts w:hint="eastAsia"/>
                <w:highlight w:val="none"/>
                <w:lang w:val="en-US" w:eastAsia="zh-CN"/>
              </w:rPr>
              <w:t>2.大疆科技——深圳科学馆。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jc w:val="center"/>
        </w:trPr>
        <w:tc>
          <w:tcPr>
            <w:tcW w:w="562" w:type="dxa"/>
            <w:tcBorders>
              <w:top w:val="single" w:color="auto" w:sz="4" w:space="0"/>
              <w:left w:val="single" w:color="auto" w:sz="4" w:space="0"/>
              <w:bottom w:val="single" w:color="auto" w:sz="4" w:space="0"/>
              <w:right w:val="single" w:color="auto" w:sz="4" w:space="0"/>
            </w:tcBorders>
            <w:noWrap w:val="0"/>
            <w:vAlign w:val="center"/>
          </w:tcPr>
          <w:p>
            <w:pPr>
              <w:rPr>
                <w:kern w:val="0"/>
                <w:szCs w:val="21"/>
                <w:highlight w:val="none"/>
              </w:rPr>
            </w:pPr>
            <w:r>
              <w:rPr>
                <w:rFonts w:hint="eastAsia"/>
                <w:kern w:val="0"/>
                <w:szCs w:val="21"/>
                <w:highlight w:val="none"/>
              </w:rPr>
              <w:t>商务需求</w:t>
            </w:r>
          </w:p>
        </w:tc>
        <w:tc>
          <w:tcPr>
            <w:tcW w:w="8228" w:type="dxa"/>
            <w:gridSpan w:val="4"/>
            <w:tcBorders>
              <w:top w:val="single" w:color="auto" w:sz="4" w:space="0"/>
              <w:left w:val="single" w:color="auto" w:sz="4" w:space="0"/>
              <w:bottom w:val="single" w:color="auto" w:sz="4" w:space="0"/>
              <w:right w:val="single" w:color="auto" w:sz="4" w:space="0"/>
            </w:tcBorders>
            <w:noWrap w:val="0"/>
            <w:vAlign w:val="top"/>
          </w:tcPr>
          <w:p>
            <w:pPr>
              <w:spacing w:beforeLines="50"/>
              <w:ind w:firstLine="422"/>
              <w:rPr>
                <w:rFonts w:hAnsi="宋体"/>
                <w:b/>
                <w:highlight w:val="none"/>
              </w:rPr>
            </w:pPr>
            <w:r>
              <w:rPr>
                <w:rFonts w:hint="eastAsia" w:hAnsi="宋体"/>
                <w:b/>
                <w:highlight w:val="none"/>
                <w:lang w:val="en-US" w:eastAsia="zh-CN"/>
              </w:rPr>
              <w:t>一</w:t>
            </w:r>
            <w:r>
              <w:rPr>
                <w:rFonts w:hint="eastAsia" w:hAnsi="宋体"/>
                <w:b/>
                <w:highlight w:val="none"/>
              </w:rPr>
              <w:t>、项目成果</w:t>
            </w:r>
          </w:p>
          <w:p>
            <w:pPr>
              <w:spacing w:beforeLines="50"/>
              <w:ind w:firstLine="420"/>
              <w:rPr>
                <w:bCs/>
                <w:highlight w:val="none"/>
              </w:rPr>
            </w:pPr>
            <w:r>
              <w:rPr>
                <w:rFonts w:hint="eastAsia"/>
                <w:highlight w:val="none"/>
                <w:lang w:val="en-US" w:eastAsia="zh-CN"/>
              </w:rPr>
              <w:t>举办“悦读行走，书香少年”深圳市中小学生研学实践活动（西部路线）</w:t>
            </w:r>
            <w:r>
              <w:rPr>
                <w:rFonts w:hint="eastAsia"/>
                <w:bCs/>
                <w:highlight w:val="none"/>
              </w:rPr>
              <w:t>。</w:t>
            </w:r>
          </w:p>
          <w:p>
            <w:pPr>
              <w:numPr>
                <w:ilvl w:val="0"/>
                <w:numId w:val="0"/>
              </w:numPr>
              <w:spacing w:beforeLines="50"/>
              <w:ind w:leftChars="200"/>
              <w:rPr>
                <w:rFonts w:hAnsi="宋体"/>
                <w:b/>
                <w:highlight w:val="none"/>
              </w:rPr>
            </w:pPr>
            <w:r>
              <w:rPr>
                <w:rFonts w:hint="eastAsia" w:hAnsi="宋体"/>
                <w:b/>
                <w:highlight w:val="none"/>
                <w:lang w:val="en-US" w:eastAsia="zh-CN"/>
              </w:rPr>
              <w:t>二、</w:t>
            </w:r>
            <w:r>
              <w:rPr>
                <w:rFonts w:hint="eastAsia" w:hAnsi="宋体"/>
                <w:b/>
                <w:highlight w:val="none"/>
              </w:rPr>
              <w:t>付款方式</w:t>
            </w:r>
          </w:p>
          <w:p>
            <w:pPr>
              <w:pStyle w:val="4"/>
              <w:rPr>
                <w:highlight w:val="none"/>
              </w:rPr>
            </w:pPr>
            <w:r>
              <w:rPr>
                <w:rFonts w:hint="eastAsia"/>
                <w:highlight w:val="none"/>
              </w:rPr>
              <w:t>项目为财政性付款。按照合同约定的付款方式支付项目款项。</w:t>
            </w:r>
          </w:p>
          <w:p>
            <w:pPr>
              <w:numPr>
                <w:ilvl w:val="0"/>
                <w:numId w:val="1"/>
              </w:numPr>
              <w:spacing w:beforeLines="50"/>
              <w:ind w:firstLine="422" w:firstLineChars="200"/>
              <w:rPr>
                <w:rFonts w:hAnsi="宋体"/>
                <w:b/>
                <w:highlight w:val="none"/>
              </w:rPr>
            </w:pPr>
            <w:r>
              <w:rPr>
                <w:rFonts w:hint="eastAsia" w:hAnsi="宋体"/>
                <w:b/>
                <w:highlight w:val="none"/>
              </w:rPr>
              <w:t>验收要求</w:t>
            </w:r>
          </w:p>
          <w:p>
            <w:pPr>
              <w:pStyle w:val="4"/>
              <w:rPr>
                <w:highlight w:val="none"/>
              </w:rPr>
            </w:pPr>
            <w:r>
              <w:rPr>
                <w:rFonts w:hint="eastAsia"/>
                <w:highlight w:val="none"/>
              </w:rPr>
              <w:t>项目承担单位须完成合同规定的所有项目成果，通过采购单位验收。</w:t>
            </w:r>
          </w:p>
          <w:p>
            <w:pPr>
              <w:spacing w:beforeLines="50"/>
              <w:ind w:firstLine="422"/>
              <w:rPr>
                <w:b/>
                <w:bCs/>
                <w:highlight w:val="none"/>
              </w:rPr>
            </w:pPr>
            <w:r>
              <w:rPr>
                <w:rFonts w:hint="eastAsia"/>
                <w:b/>
                <w:bCs/>
                <w:highlight w:val="none"/>
                <w:lang w:val="en-US" w:eastAsia="zh-CN"/>
              </w:rPr>
              <w:t>四、</w:t>
            </w:r>
            <w:r>
              <w:rPr>
                <w:rFonts w:hint="eastAsia"/>
                <w:b/>
                <w:bCs/>
                <w:highlight w:val="none"/>
              </w:rPr>
              <w:t>人员要求</w:t>
            </w:r>
          </w:p>
          <w:p>
            <w:pPr>
              <w:spacing w:beforeLines="50"/>
              <w:ind w:firstLine="420"/>
              <w:rPr>
                <w:rFonts w:hint="eastAsia"/>
                <w:highlight w:val="none"/>
              </w:rPr>
            </w:pPr>
            <w:r>
              <w:rPr>
                <w:rFonts w:hint="eastAsia"/>
                <w:highlight w:val="none"/>
              </w:rPr>
              <w:t>为保证项目的顺利进行，中标人需组织一支由具有丰富的</w:t>
            </w:r>
            <w:r>
              <w:rPr>
                <w:rFonts w:hint="eastAsia"/>
                <w:highlight w:val="none"/>
                <w:lang w:val="en-US" w:eastAsia="zh-CN"/>
              </w:rPr>
              <w:t>活动经验</w:t>
            </w:r>
            <w:r>
              <w:rPr>
                <w:rFonts w:hint="eastAsia"/>
                <w:highlight w:val="none"/>
              </w:rPr>
              <w:t>的团队来开展此项目，项目负责人需要有丰富的</w:t>
            </w:r>
            <w:r>
              <w:rPr>
                <w:rFonts w:hint="eastAsia"/>
                <w:highlight w:val="none"/>
                <w:lang w:val="en-US" w:eastAsia="zh-CN"/>
              </w:rPr>
              <w:t>活动</w:t>
            </w:r>
            <w:r>
              <w:rPr>
                <w:rFonts w:hint="eastAsia"/>
                <w:highlight w:val="none"/>
              </w:rPr>
              <w:t>经验。</w:t>
            </w:r>
          </w:p>
          <w:p>
            <w:pPr>
              <w:spacing w:beforeLines="50"/>
              <w:ind w:firstLine="420"/>
              <w:rPr>
                <w:b/>
                <w:highlight w:val="none"/>
              </w:rPr>
            </w:pPr>
            <w:r>
              <w:rPr>
                <w:rFonts w:hint="eastAsia"/>
                <w:b/>
                <w:bCs/>
                <w:highlight w:val="none"/>
                <w:lang w:val="en-US" w:eastAsia="zh-CN"/>
              </w:rPr>
              <w:t>五、</w:t>
            </w:r>
            <w:r>
              <w:rPr>
                <w:rFonts w:hint="eastAsia"/>
                <w:b/>
                <w:highlight w:val="none"/>
              </w:rPr>
              <w:t>保密要求</w:t>
            </w:r>
          </w:p>
          <w:p>
            <w:pPr>
              <w:spacing w:beforeLines="50"/>
              <w:ind w:firstLine="420"/>
              <w:rPr>
                <w:highlight w:val="none"/>
              </w:rPr>
            </w:pPr>
            <w:r>
              <w:rPr>
                <w:rFonts w:hint="eastAsia"/>
                <w:highlight w:val="none"/>
              </w:rPr>
              <w:t>由甲方收集的、开发的、整理的、复制的、研究的和准备的与本合同项下工作有关的所有资料在提供给乙方时，均被视为保密的，不得泄露给除甲方或指定的代表之外的任何人、企业或公司，不管本合同因何种原因终止，本条款一直约束乙方；乙方在履行合同过程中所获得或接触到的任何内部数据资料，未经甲方同意，不得向第三方透露；乙方实施项目的一切程序都应符合国家安全、保密的有关规定和标号招标文件、乙方投标文件、国家和行业有关规范、规程和标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51C0B"/>
    <w:multiLevelType w:val="singleLevel"/>
    <w:tmpl w:val="A6D51C0B"/>
    <w:lvl w:ilvl="0" w:tentative="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82CD6"/>
    <w:rsid w:val="52B8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next w:val="2"/>
    <w:qFormat/>
    <w:uiPriority w:val="0"/>
    <w:pPr>
      <w:spacing w:line="360" w:lineRule="auto"/>
    </w:pPr>
    <w:rPr>
      <w:sz w:val="24"/>
    </w:rPr>
  </w:style>
  <w:style w:type="paragraph" w:styleId="4">
    <w:name w:val="Normal Indent"/>
    <w:basedOn w:val="1"/>
    <w:unhideWhenUsed/>
    <w:qFormat/>
    <w:uiPriority w:val="99"/>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2023-11-27T09:57:00Z</dcterms:created>
  <dc:creator>szedu</dc:creator>
  <cp:lastModifiedBy>szedu</cp:lastModifiedBy>
  <dcterms:modified xsi:type="dcterms:W3CDTF">2023-11-27T09:58:15Z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