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hint="eastAsia" w:eastAsia="黑体"/>
          <w:sz w:val="32"/>
          <w:szCs w:val="32"/>
        </w:rPr>
        <w:t>附件</w:t>
      </w:r>
      <w:r>
        <w:rPr>
          <w:rFonts w:eastAsia="黑体"/>
          <w:sz w:val="32"/>
          <w:szCs w:val="32"/>
        </w:rPr>
        <w:t>3</w:t>
      </w:r>
    </w:p>
    <w:p>
      <w:pPr>
        <w:jc w:val="center"/>
        <w:rPr>
          <w:sz w:val="24"/>
          <w:szCs w:val="32"/>
        </w:rPr>
      </w:pPr>
    </w:p>
    <w:p>
      <w:pPr>
        <w:jc w:val="center"/>
        <w:rPr>
          <w:b/>
          <w:sz w:val="24"/>
          <w:szCs w:val="32"/>
        </w:rPr>
      </w:pPr>
      <w:r>
        <w:rPr>
          <w:rFonts w:hint="eastAsia"/>
          <w:b/>
          <w:sz w:val="40"/>
          <w:szCs w:val="32"/>
        </w:rPr>
        <w:t>评标办法及评分标准</w:t>
      </w:r>
    </w:p>
    <w:p>
      <w:pPr>
        <w:jc w:val="left"/>
        <w:rPr>
          <w:rFonts w:hint="eastAsia" w:eastAsiaTheme="minorEastAsia"/>
          <w:lang w:eastAsia="zh-CN"/>
        </w:rPr>
      </w:pPr>
      <w:r>
        <w:br w:type="textWrapping"/>
      </w:r>
      <w:r>
        <w:rPr>
          <w:rFonts w:hint="eastAsia"/>
        </w:rPr>
        <w:t>一、评标办法</w:t>
      </w:r>
    </w:p>
    <w:p>
      <w:pPr>
        <w:ind w:firstLine="420"/>
        <w:rPr>
          <w:highlight w:val="none"/>
        </w:rPr>
      </w:pPr>
      <w:r>
        <w:rPr>
          <w:rFonts w:hint="eastAsia"/>
        </w:rPr>
        <w:t>本项目采用综合评</w:t>
      </w:r>
      <w:r>
        <w:rPr>
          <w:rFonts w:hint="eastAsia"/>
          <w:highlight w:val="none"/>
        </w:rPr>
        <w:t>标法进行项目评审。</w:t>
      </w:r>
    </w:p>
    <w:p>
      <w:pPr>
        <w:numPr>
          <w:ilvl w:val="0"/>
          <w:numId w:val="1"/>
        </w:numPr>
        <w:rPr>
          <w:highlight w:val="none"/>
        </w:rPr>
      </w:pPr>
      <w:r>
        <w:rPr>
          <w:rFonts w:hint="eastAsia"/>
          <w:highlight w:val="none"/>
        </w:rPr>
        <w:t>评分组成</w:t>
      </w:r>
    </w:p>
    <w:p>
      <w:pPr>
        <w:ind w:firstLine="420"/>
        <w:rPr>
          <w:highlight w:val="none"/>
        </w:rPr>
      </w:pPr>
      <w:r>
        <w:rPr>
          <w:rFonts w:hint="eastAsia"/>
          <w:highlight w:val="none"/>
        </w:rPr>
        <w:t>评分组成主要分为：价格部分；技术部分</w:t>
      </w:r>
      <w:r>
        <w:rPr>
          <w:rFonts w:hint="eastAsia"/>
          <w:highlight w:val="none"/>
          <w:lang w:eastAsia="zh-CN"/>
        </w:rPr>
        <w:t>；</w:t>
      </w:r>
      <w:r>
        <w:rPr>
          <w:rFonts w:hint="eastAsia"/>
          <w:highlight w:val="none"/>
          <w:lang w:val="en-US" w:eastAsia="zh-CN"/>
        </w:rPr>
        <w:t>综合实力部分</w:t>
      </w:r>
      <w:r>
        <w:rPr>
          <w:rFonts w:hint="eastAsia"/>
          <w:highlight w:val="none"/>
          <w:lang w:eastAsia="zh-CN"/>
        </w:rPr>
        <w:t>。</w:t>
      </w:r>
      <w:r>
        <w:rPr>
          <w:highlight w:val="none"/>
        </w:rPr>
        <w:br w:type="textWrapping"/>
      </w:r>
      <w:r>
        <w:rPr>
          <w:rFonts w:hint="eastAsia"/>
          <w:highlight w:val="none"/>
        </w:rPr>
        <w:t>三、评分标准</w:t>
      </w:r>
    </w:p>
    <w:p>
      <w:pPr>
        <w:ind w:firstLine="420"/>
        <w:rPr>
          <w:highlight w:val="none"/>
        </w:rPr>
      </w:pPr>
      <w:r>
        <w:rPr>
          <w:rFonts w:hint="eastAsia"/>
          <w:highlight w:val="none"/>
        </w:rPr>
        <w:t>资格性审查</w:t>
      </w:r>
    </w:p>
    <w:tbl>
      <w:tblPr>
        <w:tblStyle w:val="5"/>
        <w:tblW w:w="7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4915"/>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highlight w:val="none"/>
              </w:rPr>
            </w:pPr>
            <w:r>
              <w:rPr>
                <w:rFonts w:hint="eastAsia" w:ascii="宋体" w:hAnsi="宋体" w:eastAsia="宋体" w:cs="宋体"/>
                <w:kern w:val="0"/>
                <w:sz w:val="20"/>
                <w:highlight w:val="none"/>
              </w:rPr>
              <w:t>序号</w:t>
            </w:r>
          </w:p>
        </w:tc>
        <w:tc>
          <w:tcPr>
            <w:tcW w:w="4915"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highlight w:val="none"/>
              </w:rPr>
            </w:pPr>
            <w:r>
              <w:rPr>
                <w:rFonts w:hint="eastAsia" w:ascii="宋体" w:hAnsi="宋体" w:eastAsia="宋体" w:cs="宋体"/>
                <w:kern w:val="0"/>
                <w:sz w:val="20"/>
                <w:highlight w:val="none"/>
              </w:rPr>
              <w:t>资格要求</w:t>
            </w:r>
          </w:p>
        </w:tc>
        <w:tc>
          <w:tcPr>
            <w:tcW w:w="1558"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highlight w:val="none"/>
              </w:rPr>
            </w:pPr>
            <w:r>
              <w:rPr>
                <w:rFonts w:hint="eastAsia" w:ascii="宋体" w:hAnsi="宋体" w:eastAsia="宋体" w:cs="宋体"/>
                <w:kern w:val="0"/>
                <w:sz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tcPr>
          <w:p>
            <w:pPr>
              <w:rPr>
                <w:rFonts w:eastAsiaTheme="minorEastAsia"/>
                <w:kern w:val="0"/>
                <w:sz w:val="20"/>
                <w:highlight w:val="none"/>
              </w:rPr>
            </w:pPr>
            <w:r>
              <w:rPr>
                <w:rFonts w:eastAsia="Times New Roman"/>
                <w:kern w:val="0"/>
                <w:sz w:val="20"/>
                <w:highlight w:val="none"/>
              </w:rPr>
              <w:t>1</w:t>
            </w:r>
          </w:p>
        </w:tc>
        <w:tc>
          <w:tcPr>
            <w:tcW w:w="4915" w:type="dxa"/>
            <w:tcBorders>
              <w:top w:val="single" w:color="auto" w:sz="4" w:space="0"/>
              <w:left w:val="single" w:color="auto" w:sz="4" w:space="0"/>
              <w:bottom w:val="single" w:color="auto" w:sz="4" w:space="0"/>
              <w:right w:val="single" w:color="auto" w:sz="4" w:space="0"/>
            </w:tcBorders>
          </w:tcPr>
          <w:p>
            <w:pPr>
              <w:pStyle w:val="2"/>
              <w:spacing w:beforeLines="25" w:afterLines="25"/>
              <w:ind w:firstLine="400"/>
              <w:rPr>
                <w:kern w:val="0"/>
                <w:sz w:val="20"/>
                <w:szCs w:val="21"/>
                <w:highlight w:val="none"/>
              </w:rPr>
            </w:pPr>
            <w:r>
              <w:rPr>
                <w:rFonts w:hint="eastAsia"/>
                <w:kern w:val="0"/>
                <w:sz w:val="20"/>
                <w:szCs w:val="21"/>
                <w:highlight w:val="none"/>
              </w:rPr>
              <w:t>投标人须是在中华人民共和国境内注册，具有独立法人资格或是具有独立承担民事责任的能力的其它组织（提供营业执照扫描件或事业单位法人证等法人证明扫描件，原件备查）</w:t>
            </w:r>
          </w:p>
          <w:p>
            <w:pPr>
              <w:rPr>
                <w:rFonts w:eastAsiaTheme="minorEastAsia"/>
                <w:kern w:val="0"/>
                <w:sz w:val="20"/>
                <w:highlight w:val="none"/>
              </w:rPr>
            </w:pPr>
          </w:p>
        </w:tc>
        <w:tc>
          <w:tcPr>
            <w:tcW w:w="1558" w:type="dxa"/>
            <w:tcBorders>
              <w:top w:val="single" w:color="auto" w:sz="4" w:space="0"/>
              <w:left w:val="single" w:color="auto" w:sz="4" w:space="0"/>
              <w:bottom w:val="single" w:color="auto" w:sz="4" w:space="0"/>
              <w:right w:val="single" w:color="auto" w:sz="4" w:space="0"/>
            </w:tcBorders>
          </w:tcPr>
          <w:p>
            <w:pPr>
              <w:rPr>
                <w:rFonts w:eastAsiaTheme="minorEastAsia"/>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tcPr>
          <w:p>
            <w:pPr>
              <w:rPr>
                <w:rFonts w:eastAsiaTheme="minorEastAsia"/>
                <w:kern w:val="0"/>
                <w:sz w:val="20"/>
                <w:highlight w:val="none"/>
              </w:rPr>
            </w:pPr>
            <w:r>
              <w:rPr>
                <w:rFonts w:eastAsia="Times New Roman"/>
                <w:kern w:val="0"/>
                <w:sz w:val="20"/>
                <w:highlight w:val="none"/>
              </w:rPr>
              <w:t>2</w:t>
            </w:r>
          </w:p>
        </w:tc>
        <w:tc>
          <w:tcPr>
            <w:tcW w:w="4915" w:type="dxa"/>
            <w:tcBorders>
              <w:top w:val="single" w:color="auto" w:sz="4" w:space="0"/>
              <w:left w:val="single" w:color="auto" w:sz="4" w:space="0"/>
              <w:bottom w:val="single" w:color="auto" w:sz="4" w:space="0"/>
              <w:right w:val="single" w:color="auto" w:sz="4" w:space="0"/>
            </w:tcBorders>
          </w:tcPr>
          <w:p>
            <w:pPr>
              <w:rPr>
                <w:rFonts w:eastAsiaTheme="minorEastAsia"/>
                <w:kern w:val="0"/>
                <w:sz w:val="20"/>
                <w:highlight w:val="none"/>
              </w:rPr>
            </w:pPr>
            <w:r>
              <w:rPr>
                <w:rFonts w:hint="eastAsia" w:ascii="宋体" w:hAnsi="宋体" w:eastAsia="宋体" w:cs="宋体"/>
                <w:kern w:val="0"/>
                <w:sz w:val="20"/>
                <w:highlight w:val="none"/>
              </w:rPr>
              <w:t>参与政府类采购活动前</w:t>
            </w:r>
            <w:r>
              <w:rPr>
                <w:rFonts w:eastAsia="Times New Roman"/>
                <w:kern w:val="0"/>
                <w:sz w:val="20"/>
                <w:highlight w:val="none"/>
              </w:rPr>
              <w:t>3</w:t>
            </w:r>
            <w:r>
              <w:rPr>
                <w:rFonts w:hint="eastAsia" w:ascii="宋体" w:hAnsi="宋体" w:eastAsia="宋体" w:cs="宋体"/>
                <w:kern w:val="0"/>
                <w:sz w:val="20"/>
                <w:highlight w:val="none"/>
              </w:rPr>
              <w:t>年内在经营活动中没有重大违法记录的证明。（提供</w:t>
            </w:r>
            <w:r>
              <w:rPr>
                <w:rFonts w:ascii="Calibri" w:hAnsi="Calibri" w:eastAsia="Times New Roman" w:cs="Calibri"/>
                <w:kern w:val="0"/>
                <w:sz w:val="20"/>
                <w:highlight w:val="none"/>
              </w:rPr>
              <w:t>“</w:t>
            </w:r>
            <w:r>
              <w:rPr>
                <w:rFonts w:hint="eastAsia" w:ascii="宋体" w:hAnsi="宋体" w:eastAsia="宋体" w:cs="宋体"/>
                <w:kern w:val="0"/>
                <w:sz w:val="20"/>
                <w:highlight w:val="none"/>
              </w:rPr>
              <w:t>信用中国</w:t>
            </w:r>
            <w:r>
              <w:rPr>
                <w:rFonts w:ascii="Calibri" w:hAnsi="Calibri" w:eastAsia="Times New Roman" w:cs="Calibri"/>
                <w:kern w:val="0"/>
                <w:sz w:val="20"/>
                <w:highlight w:val="none"/>
              </w:rPr>
              <w:t>”</w:t>
            </w:r>
            <w:r>
              <w:rPr>
                <w:rFonts w:hint="eastAsia" w:ascii="宋体" w:hAnsi="宋体" w:eastAsia="宋体" w:cs="宋体"/>
                <w:kern w:val="0"/>
                <w:sz w:val="20"/>
                <w:highlight w:val="none"/>
              </w:rPr>
              <w:t>网站无任何不良记录的查询截图）</w:t>
            </w:r>
          </w:p>
        </w:tc>
        <w:tc>
          <w:tcPr>
            <w:tcW w:w="1558" w:type="dxa"/>
            <w:tcBorders>
              <w:top w:val="single" w:color="auto" w:sz="4" w:space="0"/>
              <w:left w:val="single" w:color="auto" w:sz="4" w:space="0"/>
              <w:bottom w:val="single" w:color="auto" w:sz="4" w:space="0"/>
              <w:right w:val="single" w:color="auto" w:sz="4" w:space="0"/>
            </w:tcBorders>
          </w:tcPr>
          <w:p>
            <w:pPr>
              <w:rPr>
                <w:rFonts w:eastAsiaTheme="minorEastAsia"/>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tcPr>
          <w:p>
            <w:pPr>
              <w:rPr>
                <w:rFonts w:eastAsiaTheme="minorEastAsia"/>
                <w:kern w:val="0"/>
                <w:sz w:val="20"/>
                <w:highlight w:val="none"/>
              </w:rPr>
            </w:pPr>
            <w:r>
              <w:rPr>
                <w:rFonts w:eastAsia="Times New Roman"/>
                <w:kern w:val="0"/>
                <w:sz w:val="20"/>
                <w:highlight w:val="none"/>
              </w:rPr>
              <w:t>3</w:t>
            </w:r>
          </w:p>
        </w:tc>
        <w:tc>
          <w:tcPr>
            <w:tcW w:w="4915" w:type="dxa"/>
            <w:tcBorders>
              <w:top w:val="single" w:color="auto" w:sz="4" w:space="0"/>
              <w:left w:val="single" w:color="auto" w:sz="4" w:space="0"/>
              <w:bottom w:val="single" w:color="auto" w:sz="4" w:space="0"/>
              <w:right w:val="single" w:color="auto" w:sz="4" w:space="0"/>
            </w:tcBorders>
          </w:tcPr>
          <w:p>
            <w:pPr>
              <w:rPr>
                <w:rFonts w:eastAsiaTheme="minorEastAsia"/>
                <w:kern w:val="0"/>
                <w:sz w:val="20"/>
                <w:highlight w:val="none"/>
              </w:rPr>
            </w:pPr>
            <w:r>
              <w:rPr>
                <w:rFonts w:hint="eastAsia" w:ascii="宋体" w:hAnsi="宋体" w:eastAsia="宋体" w:cs="宋体"/>
                <w:kern w:val="0"/>
                <w:sz w:val="20"/>
                <w:highlight w:val="none"/>
              </w:rPr>
              <w:t>提供保证金缴纳依据</w:t>
            </w:r>
          </w:p>
        </w:tc>
        <w:tc>
          <w:tcPr>
            <w:tcW w:w="1558" w:type="dxa"/>
            <w:tcBorders>
              <w:top w:val="single" w:color="auto" w:sz="4" w:space="0"/>
              <w:left w:val="single" w:color="auto" w:sz="4" w:space="0"/>
              <w:bottom w:val="single" w:color="auto" w:sz="4" w:space="0"/>
              <w:right w:val="single" w:color="auto" w:sz="4" w:space="0"/>
            </w:tcBorders>
          </w:tcPr>
          <w:p>
            <w:pPr>
              <w:rPr>
                <w:rFonts w:eastAsiaTheme="minorEastAsia"/>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tcPr>
          <w:p>
            <w:pPr>
              <w:rPr>
                <w:rFonts w:eastAsiaTheme="minorEastAsia"/>
                <w:kern w:val="0"/>
                <w:sz w:val="20"/>
                <w:highlight w:val="none"/>
              </w:rPr>
            </w:pPr>
            <w:r>
              <w:rPr>
                <w:rFonts w:eastAsia="Times New Roman"/>
                <w:kern w:val="0"/>
                <w:sz w:val="20"/>
                <w:highlight w:val="none"/>
              </w:rPr>
              <w:t>4</w:t>
            </w:r>
          </w:p>
        </w:tc>
        <w:tc>
          <w:tcPr>
            <w:tcW w:w="491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rPr>
              <w:t>完全响应采购文件技术要求的服务内容，并作出承诺书承诺。</w:t>
            </w:r>
          </w:p>
        </w:tc>
        <w:tc>
          <w:tcPr>
            <w:tcW w:w="1558" w:type="dxa"/>
            <w:tcBorders>
              <w:top w:val="single" w:color="auto" w:sz="4" w:space="0"/>
              <w:left w:val="single" w:color="auto" w:sz="4" w:space="0"/>
              <w:bottom w:val="single" w:color="auto" w:sz="4" w:space="0"/>
              <w:right w:val="single" w:color="auto" w:sz="4" w:space="0"/>
            </w:tcBorders>
          </w:tcPr>
          <w:p>
            <w:pPr>
              <w:rPr>
                <w:rFonts w:eastAsiaTheme="minorEastAsia"/>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tcPr>
          <w:p>
            <w:pPr>
              <w:rPr>
                <w:rFonts w:eastAsiaTheme="minorEastAsia"/>
                <w:kern w:val="0"/>
                <w:sz w:val="20"/>
                <w:highlight w:val="none"/>
              </w:rPr>
            </w:pPr>
            <w:r>
              <w:rPr>
                <w:rFonts w:eastAsia="Times New Roman"/>
                <w:kern w:val="0"/>
                <w:sz w:val="20"/>
                <w:highlight w:val="none"/>
              </w:rPr>
              <w:t>5</w:t>
            </w:r>
          </w:p>
        </w:tc>
        <w:tc>
          <w:tcPr>
            <w:tcW w:w="491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rPr>
              <w:t>项目按使用方指定方式和地点完成交付</w:t>
            </w:r>
          </w:p>
        </w:tc>
        <w:tc>
          <w:tcPr>
            <w:tcW w:w="1558" w:type="dxa"/>
            <w:tcBorders>
              <w:top w:val="single" w:color="auto" w:sz="4" w:space="0"/>
              <w:left w:val="single" w:color="auto" w:sz="4" w:space="0"/>
              <w:bottom w:val="single" w:color="auto" w:sz="4" w:space="0"/>
              <w:right w:val="single" w:color="auto" w:sz="4" w:space="0"/>
            </w:tcBorders>
          </w:tcPr>
          <w:p>
            <w:pPr>
              <w:rPr>
                <w:rFonts w:eastAsiaTheme="minorEastAsia"/>
                <w:kern w:val="0"/>
                <w:sz w:val="20"/>
                <w:highlight w:val="none"/>
              </w:rPr>
            </w:pPr>
          </w:p>
        </w:tc>
      </w:tr>
    </w:tbl>
    <w:p>
      <w:pPr>
        <w:ind w:left="420" w:hanging="420" w:hangingChars="200"/>
        <w:rPr>
          <w:highlight w:val="none"/>
        </w:rPr>
      </w:pPr>
    </w:p>
    <w:p>
      <w:pPr>
        <w:ind w:left="420" w:hanging="420" w:hangingChars="200"/>
        <w:jc w:val="center"/>
        <w:rPr>
          <w:highlight w:val="none"/>
        </w:rPr>
      </w:pPr>
      <w:r>
        <w:rPr>
          <w:rFonts w:hint="eastAsia"/>
          <w:highlight w:val="none"/>
        </w:rPr>
        <w:t>评分表</w:t>
      </w:r>
    </w:p>
    <w:tbl>
      <w:tblPr>
        <w:tblStyle w:val="4"/>
        <w:tblpPr w:leftFromText="180" w:rightFromText="180" w:vertAnchor="text" w:horzAnchor="page" w:tblpX="1472" w:tblpY="453"/>
        <w:tblOverlap w:val="never"/>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709"/>
        <w:gridCol w:w="6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widowControl/>
              <w:spacing w:line="320" w:lineRule="exact"/>
              <w:jc w:val="center"/>
              <w:rPr>
                <w:rFonts w:asciiTheme="majorEastAsia" w:hAnsiTheme="majorEastAsia" w:eastAsiaTheme="majorEastAsia" w:cstheme="majorEastAsia"/>
                <w:b/>
                <w:bCs/>
                <w:szCs w:val="21"/>
                <w:highlight w:val="none"/>
              </w:rPr>
            </w:pPr>
            <w:r>
              <w:rPr>
                <w:rFonts w:hint="eastAsia" w:asciiTheme="majorEastAsia" w:hAnsiTheme="majorEastAsia" w:eastAsiaTheme="majorEastAsia" w:cstheme="majorEastAsia"/>
                <w:b/>
                <w:bCs/>
                <w:szCs w:val="21"/>
                <w:highlight w:val="none"/>
              </w:rPr>
              <w:t>序号</w:t>
            </w:r>
          </w:p>
        </w:tc>
        <w:tc>
          <w:tcPr>
            <w:tcW w:w="1562" w:type="dxa"/>
            <w:vAlign w:val="center"/>
          </w:tcPr>
          <w:p>
            <w:pPr>
              <w:widowControl/>
              <w:spacing w:line="320" w:lineRule="exact"/>
              <w:jc w:val="center"/>
              <w:rPr>
                <w:rFonts w:asciiTheme="majorEastAsia" w:hAnsiTheme="majorEastAsia" w:eastAsiaTheme="majorEastAsia" w:cstheme="majorEastAsia"/>
                <w:b/>
                <w:bCs/>
                <w:szCs w:val="21"/>
                <w:highlight w:val="none"/>
              </w:rPr>
            </w:pPr>
            <w:r>
              <w:rPr>
                <w:rFonts w:hint="eastAsia" w:asciiTheme="majorEastAsia" w:hAnsiTheme="majorEastAsia" w:eastAsiaTheme="majorEastAsia" w:cstheme="majorEastAsia"/>
                <w:b/>
                <w:bCs/>
                <w:szCs w:val="21"/>
                <w:highlight w:val="none"/>
              </w:rPr>
              <w:t>评分项</w:t>
            </w:r>
          </w:p>
        </w:tc>
        <w:tc>
          <w:tcPr>
            <w:tcW w:w="709" w:type="dxa"/>
            <w:vAlign w:val="center"/>
          </w:tcPr>
          <w:p>
            <w:pPr>
              <w:widowControl/>
              <w:spacing w:line="320" w:lineRule="exact"/>
              <w:jc w:val="center"/>
              <w:rPr>
                <w:rFonts w:asciiTheme="majorEastAsia" w:hAnsiTheme="majorEastAsia" w:eastAsiaTheme="majorEastAsia" w:cstheme="majorEastAsia"/>
                <w:b/>
                <w:bCs/>
                <w:szCs w:val="21"/>
                <w:highlight w:val="none"/>
              </w:rPr>
            </w:pPr>
            <w:r>
              <w:rPr>
                <w:rFonts w:hint="eastAsia" w:asciiTheme="majorEastAsia" w:hAnsiTheme="majorEastAsia" w:eastAsiaTheme="majorEastAsia" w:cstheme="majorEastAsia"/>
                <w:b/>
                <w:bCs/>
                <w:szCs w:val="21"/>
                <w:highlight w:val="none"/>
              </w:rPr>
              <w:t>权重</w:t>
            </w:r>
          </w:p>
        </w:tc>
        <w:tc>
          <w:tcPr>
            <w:tcW w:w="6066" w:type="dxa"/>
            <w:vAlign w:val="center"/>
          </w:tcPr>
          <w:p>
            <w:pPr>
              <w:widowControl/>
              <w:spacing w:line="320" w:lineRule="exact"/>
              <w:ind w:firstLine="422" w:firstLineChars="200"/>
              <w:jc w:val="center"/>
              <w:rPr>
                <w:rFonts w:asciiTheme="majorEastAsia" w:hAnsiTheme="majorEastAsia" w:eastAsiaTheme="majorEastAsia" w:cstheme="majorEastAsia"/>
                <w:b/>
                <w:bCs/>
                <w:szCs w:val="21"/>
                <w:highlight w:val="none"/>
              </w:rPr>
            </w:pPr>
            <w:r>
              <w:rPr>
                <w:rFonts w:hint="eastAsia" w:asciiTheme="majorEastAsia" w:hAnsiTheme="majorEastAsia" w:eastAsiaTheme="majorEastAsia" w:cstheme="majorEastAsia"/>
                <w:b/>
                <w:bCs/>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widowControl/>
              <w:spacing w:before="240" w:after="240" w:line="320" w:lineRule="exact"/>
              <w:jc w:val="center"/>
              <w:rPr>
                <w:rFonts w:asciiTheme="majorEastAsia" w:hAnsiTheme="majorEastAsia" w:eastAsiaTheme="majorEastAsia" w:cstheme="majorEastAsia"/>
                <w:b/>
                <w:bCs/>
                <w:szCs w:val="21"/>
                <w:highlight w:val="none"/>
              </w:rPr>
            </w:pPr>
            <w:r>
              <w:rPr>
                <w:rFonts w:hint="eastAsia" w:asciiTheme="majorEastAsia" w:hAnsiTheme="majorEastAsia" w:eastAsiaTheme="majorEastAsia" w:cstheme="majorEastAsia"/>
                <w:b/>
                <w:bCs/>
                <w:szCs w:val="21"/>
                <w:highlight w:val="none"/>
              </w:rPr>
              <w:t>1</w:t>
            </w:r>
          </w:p>
        </w:tc>
        <w:tc>
          <w:tcPr>
            <w:tcW w:w="1562" w:type="dxa"/>
            <w:vAlign w:val="center"/>
          </w:tcPr>
          <w:p>
            <w:pPr>
              <w:widowControl/>
              <w:spacing w:before="240" w:after="240" w:line="320" w:lineRule="exact"/>
              <w:jc w:val="center"/>
              <w:rPr>
                <w:rFonts w:asciiTheme="majorEastAsia" w:hAnsiTheme="majorEastAsia" w:eastAsiaTheme="majorEastAsia" w:cstheme="majorEastAsia"/>
                <w:b/>
                <w:bCs/>
                <w:szCs w:val="21"/>
                <w:highlight w:val="none"/>
              </w:rPr>
            </w:pPr>
            <w:r>
              <w:rPr>
                <w:rFonts w:hint="eastAsia" w:asciiTheme="majorEastAsia" w:hAnsiTheme="majorEastAsia" w:eastAsiaTheme="majorEastAsia" w:cstheme="majorEastAsia"/>
                <w:b/>
                <w:bCs/>
                <w:szCs w:val="21"/>
                <w:highlight w:val="none"/>
              </w:rPr>
              <w:t>价格</w:t>
            </w:r>
          </w:p>
        </w:tc>
        <w:tc>
          <w:tcPr>
            <w:tcW w:w="709" w:type="dxa"/>
            <w:vAlign w:val="center"/>
          </w:tcPr>
          <w:p>
            <w:pPr>
              <w:widowControl/>
              <w:spacing w:before="240" w:after="240" w:line="320" w:lineRule="exact"/>
              <w:jc w:val="center"/>
              <w:rPr>
                <w:rFonts w:asciiTheme="majorEastAsia" w:hAnsiTheme="majorEastAsia" w:eastAsiaTheme="majorEastAsia" w:cstheme="majorEastAsia"/>
                <w:b/>
                <w:bCs/>
                <w:color w:val="auto"/>
                <w:szCs w:val="21"/>
                <w:highlight w:val="none"/>
              </w:rPr>
            </w:pPr>
            <w:r>
              <w:rPr>
                <w:rFonts w:hint="eastAsia" w:asciiTheme="majorEastAsia" w:hAnsiTheme="majorEastAsia" w:eastAsiaTheme="majorEastAsia" w:cstheme="majorEastAsia"/>
                <w:b/>
                <w:bCs/>
                <w:color w:val="auto"/>
                <w:szCs w:val="21"/>
                <w:highlight w:val="none"/>
              </w:rPr>
              <w:t>5</w:t>
            </w:r>
          </w:p>
        </w:tc>
        <w:tc>
          <w:tcPr>
            <w:tcW w:w="6066" w:type="dxa"/>
            <w:vAlign w:val="center"/>
          </w:tcPr>
          <w:p>
            <w:pPr>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满足本采购文件要求且投标价格最低的投标报价为评标基准价，其价格分为满分。其他投标人的价格分统一按照下列公式计算：投标报价得分＝（评标基准价/投标报价）×价格权值；保留两位小数。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spacing w:before="240" w:after="240" w:line="320" w:lineRule="exact"/>
              <w:jc w:val="center"/>
              <w:rPr>
                <w:rFonts w:asciiTheme="majorEastAsia" w:hAnsiTheme="majorEastAsia" w:eastAsiaTheme="majorEastAsia" w:cstheme="majorEastAsia"/>
                <w:b/>
                <w:bCs/>
                <w:szCs w:val="21"/>
                <w:highlight w:val="none"/>
              </w:rPr>
            </w:pPr>
            <w:r>
              <w:rPr>
                <w:rFonts w:hint="eastAsia" w:asciiTheme="majorEastAsia" w:hAnsiTheme="majorEastAsia" w:eastAsiaTheme="majorEastAsia" w:cstheme="majorEastAsia"/>
                <w:b/>
                <w:bCs/>
                <w:szCs w:val="21"/>
                <w:highlight w:val="none"/>
              </w:rPr>
              <w:t>2</w:t>
            </w:r>
          </w:p>
        </w:tc>
        <w:tc>
          <w:tcPr>
            <w:tcW w:w="1562" w:type="dxa"/>
            <w:vAlign w:val="center"/>
          </w:tcPr>
          <w:p>
            <w:pPr>
              <w:widowControl/>
              <w:spacing w:before="240" w:after="240" w:line="320" w:lineRule="exact"/>
              <w:jc w:val="center"/>
              <w:rPr>
                <w:rFonts w:asciiTheme="majorEastAsia" w:hAnsiTheme="majorEastAsia" w:eastAsiaTheme="majorEastAsia" w:cstheme="majorEastAsia"/>
                <w:b/>
                <w:bCs/>
                <w:szCs w:val="21"/>
                <w:highlight w:val="none"/>
              </w:rPr>
            </w:pPr>
            <w:r>
              <w:rPr>
                <w:rFonts w:hint="eastAsia" w:asciiTheme="majorEastAsia" w:hAnsiTheme="majorEastAsia" w:eastAsiaTheme="majorEastAsia" w:cstheme="majorEastAsia"/>
                <w:b/>
                <w:bCs/>
                <w:szCs w:val="21"/>
                <w:highlight w:val="none"/>
              </w:rPr>
              <w:t>技术部分</w:t>
            </w:r>
          </w:p>
        </w:tc>
        <w:tc>
          <w:tcPr>
            <w:tcW w:w="709" w:type="dxa"/>
            <w:vAlign w:val="center"/>
          </w:tcPr>
          <w:p>
            <w:pPr>
              <w:widowControl/>
              <w:spacing w:before="240" w:after="240" w:line="320" w:lineRule="exact"/>
              <w:jc w:val="center"/>
              <w:rPr>
                <w:rFonts w:asciiTheme="majorEastAsia" w:hAnsiTheme="majorEastAsia" w:eastAsiaTheme="majorEastAsia" w:cstheme="majorEastAsia"/>
                <w:b/>
                <w:bCs/>
                <w:color w:val="auto"/>
                <w:szCs w:val="21"/>
                <w:highlight w:val="none"/>
              </w:rPr>
            </w:pPr>
            <w:r>
              <w:rPr>
                <w:rFonts w:hint="eastAsia" w:asciiTheme="majorEastAsia" w:hAnsiTheme="majorEastAsia" w:eastAsiaTheme="majorEastAsia" w:cstheme="majorEastAsia"/>
                <w:b/>
                <w:bCs/>
                <w:color w:val="auto"/>
                <w:szCs w:val="21"/>
                <w:highlight w:val="none"/>
              </w:rPr>
              <w:t>59</w:t>
            </w:r>
          </w:p>
        </w:tc>
        <w:tc>
          <w:tcPr>
            <w:tcW w:w="6066" w:type="dxa"/>
            <w:vAlign w:val="center"/>
          </w:tcPr>
          <w:p>
            <w:pPr>
              <w:widowControl/>
              <w:spacing w:before="240" w:after="240" w:line="320" w:lineRule="exact"/>
              <w:ind w:firstLine="422" w:firstLineChars="200"/>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bCs/>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2.1</w:t>
            </w:r>
          </w:p>
        </w:tc>
        <w:tc>
          <w:tcPr>
            <w:tcW w:w="1562" w:type="dxa"/>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整体实施</w:t>
            </w:r>
          </w:p>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方案评价</w:t>
            </w:r>
          </w:p>
        </w:tc>
        <w:tc>
          <w:tcPr>
            <w:tcW w:w="709" w:type="dxa"/>
            <w:vAlign w:val="center"/>
          </w:tcPr>
          <w:p>
            <w:pPr>
              <w:widowControl/>
              <w:spacing w:line="3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25</w:t>
            </w:r>
          </w:p>
        </w:tc>
        <w:tc>
          <w:tcPr>
            <w:tcW w:w="6066" w:type="dxa"/>
          </w:tcPr>
          <w:p>
            <w:pPr>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评审标准：</w:t>
            </w:r>
          </w:p>
          <w:p>
            <w:pPr>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根据方案的完整性、科学性、合理性、可行性和可操作性进行横向比较，分档评分：优得81%-100%，良得61%-80%，中得41%-60%，差得0%-40%。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2.2</w:t>
            </w:r>
          </w:p>
        </w:tc>
        <w:tc>
          <w:tcPr>
            <w:tcW w:w="1562" w:type="dxa"/>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企业诚信</w:t>
            </w:r>
          </w:p>
        </w:tc>
        <w:tc>
          <w:tcPr>
            <w:tcW w:w="709" w:type="dxa"/>
            <w:vAlign w:val="center"/>
          </w:tcPr>
          <w:p>
            <w:pPr>
              <w:widowControl/>
              <w:spacing w:line="3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5</w:t>
            </w:r>
          </w:p>
        </w:tc>
        <w:tc>
          <w:tcPr>
            <w:tcW w:w="6066" w:type="dxa"/>
          </w:tcPr>
          <w:p>
            <w:pPr>
              <w:spacing w:line="320" w:lineRule="exact"/>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 xml:space="preserve">依据相关规定：供应商因违法违规被记入诚信档案且在有效期内的，不得分；不存在此类情况的，或虽受过行政处罚但修正行政处罚期已满，可参与政府采购活动的，得5分。 </w:t>
            </w:r>
          </w:p>
          <w:p>
            <w:pPr>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注：以提供《诚信承诺函》（格式自拟，未按要求提供或提供不清晰的不得分。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2.3</w:t>
            </w:r>
          </w:p>
        </w:tc>
        <w:tc>
          <w:tcPr>
            <w:tcW w:w="1562" w:type="dxa"/>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保障措施</w:t>
            </w:r>
          </w:p>
        </w:tc>
        <w:tc>
          <w:tcPr>
            <w:tcW w:w="709" w:type="dxa"/>
            <w:vAlign w:val="center"/>
          </w:tcPr>
          <w:p>
            <w:pPr>
              <w:widowControl/>
              <w:spacing w:line="3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5</w:t>
            </w:r>
          </w:p>
        </w:tc>
        <w:tc>
          <w:tcPr>
            <w:tcW w:w="6066" w:type="dxa"/>
          </w:tcPr>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（一）评分内容：</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项目完成时间、活动安排等环节的保障措施及方案详细、合理，完成时间符合采购方要求。</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（二）评分依据：</w:t>
            </w:r>
          </w:p>
          <w:p>
            <w:pPr>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根据采购文件的需求和响应文件响应情况进行分档评分：评价为优得5分；评价为良得3分；评价为中得2分；评价为差不得分。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2.4</w:t>
            </w:r>
          </w:p>
        </w:tc>
        <w:tc>
          <w:tcPr>
            <w:tcW w:w="1562" w:type="dxa"/>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团队成员</w:t>
            </w:r>
          </w:p>
        </w:tc>
        <w:tc>
          <w:tcPr>
            <w:tcW w:w="709" w:type="dxa"/>
            <w:vAlign w:val="center"/>
          </w:tcPr>
          <w:p>
            <w:pPr>
              <w:widowControl/>
              <w:spacing w:line="3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7</w:t>
            </w:r>
          </w:p>
        </w:tc>
        <w:tc>
          <w:tcPr>
            <w:tcW w:w="6066" w:type="dxa"/>
          </w:tcPr>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（一）评分内容：</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团队成员总人数要求2人或以上，未达到人数不得分。</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（二）评分依据：</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根据采购文件的需求和响应文件响应情况进行分档评分：评价为优得 7分；评价为良得5分；评价为中得 3分；评价为差不得分。不符要求的，此项不得分；</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1.为本项目拟安排项目团队成员中，具有 1人是正高级教师职称证书得3分，具有1人副高级教师职称证书得2分，中级职称1分，其他不得分；</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 本项最高得分为7分。</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（二）评分依据：</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项目团队成员必须为响应供应商自有员工，提供相关人员的区级以上教育主管部门颁发的职称、获奖荣誉证书及开标日前由响应供应商为其缴交的载有社保部门公章的近三个月（2022年5月至7月）社保</w:t>
            </w:r>
            <w:r>
              <w:rPr>
                <w:rFonts w:hint="eastAsia" w:asciiTheme="majorEastAsia" w:hAnsiTheme="majorEastAsia" w:eastAsiaTheme="majorEastAsia" w:cstheme="majorEastAsia"/>
                <w:color w:val="auto"/>
                <w:szCs w:val="21"/>
                <w:highlight w:val="none"/>
                <w:lang w:val="en-US" w:eastAsia="zh-CN"/>
              </w:rPr>
              <w:t>缴纳</w:t>
            </w:r>
            <w:bookmarkStart w:id="0" w:name="_GoBack"/>
            <w:bookmarkEnd w:id="0"/>
            <w:r>
              <w:rPr>
                <w:rFonts w:hint="eastAsia" w:asciiTheme="majorEastAsia" w:hAnsiTheme="majorEastAsia" w:eastAsiaTheme="majorEastAsia" w:cstheme="majorEastAsia"/>
                <w:color w:val="auto"/>
                <w:szCs w:val="21"/>
                <w:highlight w:val="none"/>
              </w:rPr>
              <w:t>证明材料（已退休返聘人员需提供聘用合同），如开标日上一个月的社保材料因社保部门原因暂时无法取得，则可以往前顺延一个月；社保资料必须至少显示缴交养老保险信息，未显示该信息的该社保资料则不符合要求，原件备查。</w:t>
            </w:r>
          </w:p>
          <w:p>
            <w:pPr>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未按要求提供或提供不清晰导致专家无法判断的不得分。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2.5</w:t>
            </w:r>
          </w:p>
        </w:tc>
        <w:tc>
          <w:tcPr>
            <w:tcW w:w="1562" w:type="dxa"/>
            <w:vAlign w:val="center"/>
          </w:tcPr>
          <w:p>
            <w:pPr>
              <w:spacing w:line="320" w:lineRule="exac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违约承诺</w:t>
            </w:r>
          </w:p>
        </w:tc>
        <w:tc>
          <w:tcPr>
            <w:tcW w:w="709" w:type="dxa"/>
            <w:vAlign w:val="center"/>
          </w:tcPr>
          <w:p>
            <w:pPr>
              <w:widowControl/>
              <w:spacing w:line="3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5</w:t>
            </w:r>
          </w:p>
        </w:tc>
        <w:tc>
          <w:tcPr>
            <w:tcW w:w="6066" w:type="dxa"/>
          </w:tcPr>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（一）评分内容：</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中选方书面承诺：需在合同签订之日起不少于5个工作日内，按时开展该合同服务，包括活动</w:t>
            </w:r>
            <w:r>
              <w:rPr>
                <w:rFonts w:hint="eastAsia" w:asciiTheme="majorEastAsia" w:hAnsiTheme="majorEastAsia" w:eastAsiaTheme="majorEastAsia" w:cstheme="majorEastAsia"/>
                <w:color w:val="auto"/>
                <w:szCs w:val="21"/>
                <w:highlight w:val="none"/>
                <w:lang w:val="en-US" w:eastAsia="zh-CN"/>
              </w:rPr>
              <w:t>举办</w:t>
            </w:r>
            <w:r>
              <w:rPr>
                <w:rFonts w:hint="eastAsia" w:asciiTheme="majorEastAsia" w:hAnsiTheme="majorEastAsia" w:eastAsiaTheme="majorEastAsia" w:cstheme="majorEastAsia"/>
                <w:color w:val="auto"/>
                <w:szCs w:val="21"/>
                <w:highlight w:val="none"/>
              </w:rPr>
              <w:t>等相关工作。如未能按时开展，将视为根本违约，采购方有权立即解除与其签订的采购合同，且中选方还需向采购方支付中选价的10%的违约金并赔偿其他损失。</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（二）评分依据：</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须提供违约承诺函（格式自拟），按要求提供得5分。</w:t>
            </w:r>
          </w:p>
          <w:p>
            <w:pPr>
              <w:wordWrap w:val="0"/>
              <w:spacing w:line="320" w:lineRule="exact"/>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未按要求提供或提供不清晰导致专家无法判断的不得分</w:t>
            </w:r>
          </w:p>
          <w:p>
            <w:pPr>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【须提供加盖响应供应商公章的违约承诺函，按要求提供得5分，未提供或提供信息不全均不得分。】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2.6</w:t>
            </w:r>
          </w:p>
        </w:tc>
        <w:tc>
          <w:tcPr>
            <w:tcW w:w="1562" w:type="dxa"/>
            <w:vAlign w:val="center"/>
          </w:tcPr>
          <w:p>
            <w:pPr>
              <w:spacing w:line="320" w:lineRule="exac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媒体宣传</w:t>
            </w:r>
          </w:p>
        </w:tc>
        <w:tc>
          <w:tcPr>
            <w:tcW w:w="709" w:type="dxa"/>
            <w:vAlign w:val="center"/>
          </w:tcPr>
          <w:p>
            <w:pPr>
              <w:widowControl/>
              <w:spacing w:line="3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12</w:t>
            </w:r>
          </w:p>
        </w:tc>
        <w:tc>
          <w:tcPr>
            <w:tcW w:w="6066" w:type="dxa"/>
          </w:tcPr>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评分内容：</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1.投标单位具有较强的社会公信力；评价为优得3分；评价为良得 2分；评价为中得1分；评价为差不得分。</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2.具有自身丰富的媒体资源和宣传平台，需提供相关证明扫描件（截图）加盖投标人公章，原件备查，每提供一个自身媒体资源平台得2分，最高得6分，不提供不得分；</w:t>
            </w:r>
          </w:p>
          <w:p>
            <w:pPr>
              <w:wordWrap w:val="0"/>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3.提供投标单位近三年相关案例的媒体报道，6-10篇得3分，3-5篇得2分，1-2篇得1分，不提供不得分。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75" w:type="dxa"/>
          </w:tcPr>
          <w:p>
            <w:pPr>
              <w:widowControl/>
              <w:spacing w:before="240" w:after="240" w:line="320" w:lineRule="exact"/>
              <w:jc w:val="center"/>
              <w:rPr>
                <w:rFonts w:asciiTheme="majorEastAsia" w:hAnsiTheme="majorEastAsia" w:eastAsiaTheme="majorEastAsia" w:cstheme="majorEastAsia"/>
                <w:b/>
                <w:bCs/>
                <w:szCs w:val="21"/>
                <w:highlight w:val="none"/>
              </w:rPr>
            </w:pPr>
            <w:r>
              <w:rPr>
                <w:rFonts w:hint="eastAsia" w:asciiTheme="majorEastAsia" w:hAnsiTheme="majorEastAsia" w:eastAsiaTheme="majorEastAsia" w:cstheme="majorEastAsia"/>
                <w:b/>
                <w:bCs/>
                <w:szCs w:val="21"/>
                <w:highlight w:val="none"/>
              </w:rPr>
              <w:t>3</w:t>
            </w:r>
          </w:p>
        </w:tc>
        <w:tc>
          <w:tcPr>
            <w:tcW w:w="1562" w:type="dxa"/>
            <w:vAlign w:val="center"/>
          </w:tcPr>
          <w:p>
            <w:pPr>
              <w:widowControl/>
              <w:spacing w:before="240" w:after="240" w:line="320" w:lineRule="exact"/>
              <w:jc w:val="center"/>
              <w:rPr>
                <w:rFonts w:asciiTheme="majorEastAsia" w:hAnsiTheme="majorEastAsia" w:eastAsiaTheme="majorEastAsia" w:cstheme="majorEastAsia"/>
                <w:b/>
                <w:bCs/>
                <w:szCs w:val="21"/>
                <w:highlight w:val="none"/>
              </w:rPr>
            </w:pPr>
            <w:r>
              <w:rPr>
                <w:rFonts w:hint="eastAsia" w:asciiTheme="majorEastAsia" w:hAnsiTheme="majorEastAsia" w:eastAsiaTheme="majorEastAsia" w:cstheme="majorEastAsia"/>
                <w:b/>
                <w:bCs/>
                <w:szCs w:val="21"/>
                <w:highlight w:val="none"/>
              </w:rPr>
              <w:t>综合实力部分</w:t>
            </w:r>
          </w:p>
        </w:tc>
        <w:tc>
          <w:tcPr>
            <w:tcW w:w="709" w:type="dxa"/>
            <w:vAlign w:val="center"/>
          </w:tcPr>
          <w:p>
            <w:pPr>
              <w:widowControl/>
              <w:spacing w:before="240" w:after="240" w:line="320" w:lineRule="exact"/>
              <w:jc w:val="center"/>
              <w:rPr>
                <w:rFonts w:asciiTheme="majorEastAsia" w:hAnsiTheme="majorEastAsia" w:eastAsiaTheme="majorEastAsia" w:cstheme="majorEastAsia"/>
                <w:b/>
                <w:bCs/>
                <w:color w:val="auto"/>
                <w:szCs w:val="21"/>
                <w:highlight w:val="none"/>
              </w:rPr>
            </w:pPr>
            <w:r>
              <w:rPr>
                <w:rFonts w:hint="eastAsia" w:asciiTheme="majorEastAsia" w:hAnsiTheme="majorEastAsia" w:eastAsiaTheme="majorEastAsia" w:cstheme="majorEastAsia"/>
                <w:b/>
                <w:bCs/>
                <w:color w:val="auto"/>
                <w:szCs w:val="21"/>
                <w:highlight w:val="none"/>
              </w:rPr>
              <w:t>36</w:t>
            </w:r>
          </w:p>
        </w:tc>
        <w:tc>
          <w:tcPr>
            <w:tcW w:w="6066" w:type="dxa"/>
            <w:vAlign w:val="center"/>
          </w:tcPr>
          <w:p>
            <w:pPr>
              <w:widowControl/>
              <w:spacing w:before="240" w:after="240" w:line="320" w:lineRule="exact"/>
              <w:ind w:firstLine="422" w:firstLineChars="200"/>
              <w:jc w:val="center"/>
              <w:rPr>
                <w:rFonts w:asciiTheme="majorEastAsia" w:hAnsiTheme="majorEastAsia" w:eastAsiaTheme="majorEastAsia" w:cstheme="majorEastAsia"/>
                <w:b/>
                <w:bCs/>
                <w:color w:val="auto"/>
                <w:szCs w:val="21"/>
                <w:highlight w:val="none"/>
              </w:rPr>
            </w:pPr>
            <w:r>
              <w:rPr>
                <w:rFonts w:hint="eastAsia" w:asciiTheme="majorEastAsia" w:hAnsiTheme="majorEastAsia" w:eastAsiaTheme="majorEastAsia" w:cstheme="majorEastAsia"/>
                <w:b/>
                <w:bCs/>
                <w:color w:val="auto"/>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75"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3.1</w:t>
            </w:r>
          </w:p>
        </w:tc>
        <w:tc>
          <w:tcPr>
            <w:tcW w:w="156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投标人资质认证情况</w:t>
            </w:r>
          </w:p>
        </w:tc>
        <w:tc>
          <w:tcPr>
            <w:tcW w:w="709"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w:t>
            </w:r>
          </w:p>
        </w:tc>
        <w:tc>
          <w:tcPr>
            <w:tcW w:w="6066" w:type="dxa"/>
            <w:tcBorders>
              <w:top w:val="single" w:color="000000" w:sz="8" w:space="0"/>
              <w:left w:val="single" w:color="000000" w:sz="8" w:space="0"/>
              <w:bottom w:val="single" w:color="000000" w:sz="8" w:space="0"/>
              <w:right w:val="single" w:color="000000" w:sz="8" w:space="0"/>
            </w:tcBorders>
          </w:tcPr>
          <w:p>
            <w:pPr>
              <w:widowControl/>
              <w:spacing w:line="320" w:lineRule="exact"/>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投标单位的业务范围必须包含教育培训、教育活动组织等相关业务。1.具有质量管理体系认证证书的；2.具有职业健康安全管理体系认证证书的；3.具有环境管理体系认证证书的；4.具有信息安全管理体系认证证书的；每提供一个得0.5分，不符合条件不得分。</w:t>
            </w:r>
          </w:p>
          <w:p>
            <w:pPr>
              <w:spacing w:line="320" w:lineRule="exact"/>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证明文件：1）提供相关证明扫描件（截图）加盖投标人公章，原件备查；2）不提供或者不能有效证明的，不得分。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75"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3.2</w:t>
            </w:r>
          </w:p>
        </w:tc>
        <w:tc>
          <w:tcPr>
            <w:tcW w:w="156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注册资金</w:t>
            </w:r>
          </w:p>
        </w:tc>
        <w:tc>
          <w:tcPr>
            <w:tcW w:w="709"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w:t>
            </w:r>
          </w:p>
        </w:tc>
        <w:tc>
          <w:tcPr>
            <w:tcW w:w="6066" w:type="dxa"/>
            <w:tcBorders>
              <w:top w:val="single" w:color="000000" w:sz="8" w:space="0"/>
              <w:left w:val="single" w:color="000000" w:sz="8" w:space="0"/>
              <w:bottom w:val="single" w:color="000000" w:sz="8" w:space="0"/>
              <w:right w:val="single" w:color="000000" w:sz="8" w:space="0"/>
            </w:tcBorders>
          </w:tcPr>
          <w:p>
            <w:pPr>
              <w:spacing w:line="320" w:lineRule="exact"/>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横向比较。证明文件：1）提供相关证明扫描件（截图）加盖投标人公章，原件备查；2）不提供或者不能有效证明的，不得分。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75"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3.4</w:t>
            </w:r>
          </w:p>
        </w:tc>
        <w:tc>
          <w:tcPr>
            <w:tcW w:w="156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投标人近三年相关案例</w:t>
            </w:r>
          </w:p>
        </w:tc>
        <w:tc>
          <w:tcPr>
            <w:tcW w:w="709"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30</w:t>
            </w:r>
          </w:p>
        </w:tc>
        <w:tc>
          <w:tcPr>
            <w:tcW w:w="6066" w:type="dxa"/>
            <w:tcBorders>
              <w:top w:val="single" w:color="000000" w:sz="8" w:space="0"/>
              <w:left w:val="single" w:color="000000" w:sz="8" w:space="0"/>
              <w:bottom w:val="single" w:color="000000" w:sz="8" w:space="0"/>
              <w:right w:val="single" w:color="000000" w:sz="8" w:space="0"/>
            </w:tcBorders>
          </w:tcPr>
          <w:p>
            <w:pPr>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2019年1月1日以来，供应商承接区级或以上教育局、教育科学研究院教育活动服务项目案例数量，每提供一个成功案例得6分。满分30分。须提供中标通知书或合同关键页扫描件，原件备查，不提供者不得分。</w:t>
            </w:r>
          </w:p>
          <w:p>
            <w:pPr>
              <w:spacing w:line="3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注：一个单位同一时间服务有多份合同业绩的仅算一份业绩。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75"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3.5</w:t>
            </w:r>
          </w:p>
        </w:tc>
        <w:tc>
          <w:tcPr>
            <w:tcW w:w="156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本地化服务</w:t>
            </w:r>
          </w:p>
        </w:tc>
        <w:tc>
          <w:tcPr>
            <w:tcW w:w="709"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w:t>
            </w:r>
          </w:p>
        </w:tc>
        <w:tc>
          <w:tcPr>
            <w:tcW w:w="6066" w:type="dxa"/>
            <w:tcBorders>
              <w:top w:val="single" w:color="000000" w:sz="8" w:space="0"/>
              <w:left w:val="single" w:color="000000" w:sz="8" w:space="0"/>
              <w:bottom w:val="single" w:color="000000" w:sz="8" w:space="0"/>
              <w:right w:val="single" w:color="000000" w:sz="8" w:space="0"/>
            </w:tcBorders>
          </w:tcPr>
          <w:p>
            <w:pPr>
              <w:spacing w:line="320" w:lineRule="exact"/>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投标人在深圳市具有售后服务机构（即深圳市注册公司或设有分公司或合法注册的办事处）的得100%，不符合条件不得分；</w:t>
            </w:r>
          </w:p>
          <w:p>
            <w:pPr>
              <w:spacing w:line="320" w:lineRule="exact"/>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1）提供营业执照复印件作为证明材料。加盖投标人公章，原件备查；</w:t>
            </w:r>
          </w:p>
          <w:p>
            <w:pPr>
              <w:spacing w:line="320" w:lineRule="exact"/>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2）不提供或者不能有效证明的，不得分。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2B8910"/>
    <w:multiLevelType w:val="singleLevel"/>
    <w:tmpl w:val="162B8910"/>
    <w:lvl w:ilvl="0" w:tentative="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kOGM4ZGM1ZDFmYzY2ZjM4ZThhNGQ3ZjZiZmU4MDQifQ=="/>
  </w:docVars>
  <w:rsids>
    <w:rsidRoot w:val="5CBF7016"/>
    <w:rsid w:val="424D609C"/>
    <w:rsid w:val="5CBF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eastAsia="宋体" w:cs="Times New Roman"/>
    </w:rPr>
  </w:style>
  <w:style w:type="paragraph" w:styleId="3">
    <w:name w:val="Body Text"/>
    <w:basedOn w:val="1"/>
    <w:next w:val="1"/>
    <w:qFormat/>
    <w:uiPriority w:val="0"/>
    <w:pPr>
      <w:spacing w:line="360" w:lineRule="auto"/>
    </w:pPr>
    <w:rPr>
      <w:b/>
      <w:bCs/>
      <w:sz w:val="24"/>
    </w:rPr>
  </w:style>
  <w:style w:type="table" w:styleId="5">
    <w:name w:val="Table Grid"/>
    <w:basedOn w:val="4"/>
    <w:qFormat/>
    <w:uiPriority w:val="59"/>
    <w:pPr>
      <w:widowControl w:val="0"/>
      <w:jc w:val="both"/>
    </w:pPr>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2011</Words>
  <Characters>2090</Characters>
  <Lines>0</Lines>
  <Paragraphs>0</Paragraphs>
  <TotalTime>0</TotalTime>
  <ScaleCrop>false</ScaleCrop>
  <LinksUpToDate>false</LinksUpToDate>
  <CharactersWithSpaces>2096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2023-05-08T09:10:00Z</dcterms:created>
  <dc:creator>szedu</dc:creator>
  <cp:lastModifiedBy>哆啦A梦的口袋</cp:lastModifiedBy>
  <dcterms:modified xsi:type="dcterms:W3CDTF">2023-05-16T02:10:07Z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054BC71DF15342608DB888988C05CF30_12</vt:lpwstr>
  </property>
</Properties>
</file>