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8D" w:rsidRDefault="00DC208D">
      <w:pPr>
        <w:widowControl/>
        <w:spacing w:line="560" w:lineRule="exact"/>
        <w:jc w:val="left"/>
        <w:rPr>
          <w:rFonts w:ascii="黑体" w:eastAsia="黑体" w:hAnsi="黑体" w:cs="仿宋_GB2312"/>
          <w:kern w:val="0"/>
          <w:sz w:val="32"/>
          <w:szCs w:val="32"/>
        </w:rPr>
      </w:pPr>
    </w:p>
    <w:p w:rsidR="00DC208D" w:rsidRDefault="00477813">
      <w:pPr>
        <w:spacing w:line="580" w:lineRule="exact"/>
        <w:jc w:val="center"/>
        <w:rPr>
          <w:rFonts w:ascii="黑体" w:eastAsia="黑体" w:hAnsi="黑体" w:cs="宋体"/>
          <w:color w:val="000000"/>
          <w:kern w:val="0"/>
          <w:sz w:val="32"/>
        </w:rPr>
      </w:pPr>
      <w:r>
        <w:rPr>
          <w:rFonts w:ascii="黑体" w:eastAsia="黑体" w:hAnsi="黑体" w:cs="宋体" w:hint="eastAsia"/>
          <w:color w:val="000000"/>
          <w:kern w:val="0"/>
          <w:sz w:val="32"/>
        </w:rPr>
        <w:t>民办学校综合信息监管系统研发机构遴选评审表</w:t>
      </w:r>
    </w:p>
    <w:p w:rsidR="00DC208D" w:rsidRDefault="00DC208D">
      <w:pPr>
        <w:spacing w:line="580" w:lineRule="exact"/>
        <w:jc w:val="left"/>
        <w:rPr>
          <w:rFonts w:ascii="仿宋_GB2312" w:eastAsia="仿宋_GB2312" w:hAnsi="仿宋_GB2312" w:cs="仿宋_GB2312"/>
          <w:sz w:val="28"/>
          <w:szCs w:val="28"/>
        </w:rPr>
      </w:pPr>
    </w:p>
    <w:tbl>
      <w:tblPr>
        <w:tblW w:w="10200" w:type="dxa"/>
        <w:tblInd w:w="-494" w:type="dxa"/>
        <w:tblLayout w:type="fixed"/>
        <w:tblLook w:val="04A0"/>
      </w:tblPr>
      <w:tblGrid>
        <w:gridCol w:w="1260"/>
        <w:gridCol w:w="780"/>
        <w:gridCol w:w="7185"/>
        <w:gridCol w:w="975"/>
      </w:tblGrid>
      <w:tr w:rsidR="00DC208D">
        <w:trPr>
          <w:trHeight w:val="300"/>
        </w:trPr>
        <w:tc>
          <w:tcPr>
            <w:tcW w:w="1260" w:type="dxa"/>
            <w:tcBorders>
              <w:top w:val="single" w:sz="8" w:space="0" w:color="auto"/>
              <w:left w:val="single" w:sz="8" w:space="0" w:color="auto"/>
              <w:bottom w:val="single" w:sz="8" w:space="0" w:color="auto"/>
              <w:right w:val="single" w:sz="8" w:space="0" w:color="auto"/>
            </w:tcBorders>
            <w:shd w:val="clear" w:color="000000" w:fill="FDE9D9"/>
            <w:vAlign w:val="center"/>
          </w:tcPr>
          <w:p w:rsidR="00DC208D" w:rsidRDefault="00477813">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评分因素</w:t>
            </w:r>
          </w:p>
        </w:tc>
        <w:tc>
          <w:tcPr>
            <w:tcW w:w="780" w:type="dxa"/>
            <w:tcBorders>
              <w:top w:val="single" w:sz="8" w:space="0" w:color="auto"/>
              <w:left w:val="nil"/>
              <w:bottom w:val="single" w:sz="8" w:space="0" w:color="auto"/>
              <w:right w:val="single" w:sz="4" w:space="0" w:color="auto"/>
            </w:tcBorders>
            <w:shd w:val="clear" w:color="000000" w:fill="FDE9D9"/>
            <w:vAlign w:val="center"/>
          </w:tcPr>
          <w:p w:rsidR="00DC208D" w:rsidRDefault="00477813">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权重（%）</w:t>
            </w:r>
          </w:p>
        </w:tc>
        <w:tc>
          <w:tcPr>
            <w:tcW w:w="7185" w:type="dxa"/>
            <w:tcBorders>
              <w:top w:val="single" w:sz="4" w:space="0" w:color="auto"/>
              <w:left w:val="single" w:sz="4" w:space="0" w:color="auto"/>
              <w:bottom w:val="single" w:sz="4" w:space="0" w:color="auto"/>
              <w:right w:val="single" w:sz="4" w:space="0" w:color="auto"/>
            </w:tcBorders>
            <w:shd w:val="clear" w:color="000000" w:fill="FDE9D9"/>
            <w:vAlign w:val="center"/>
          </w:tcPr>
          <w:p w:rsidR="00DC208D" w:rsidRDefault="00477813">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评分准则</w:t>
            </w:r>
          </w:p>
        </w:tc>
        <w:tc>
          <w:tcPr>
            <w:tcW w:w="975" w:type="dxa"/>
            <w:tcBorders>
              <w:top w:val="single" w:sz="4" w:space="0" w:color="auto"/>
              <w:left w:val="single" w:sz="4" w:space="0" w:color="auto"/>
              <w:bottom w:val="single" w:sz="4" w:space="0" w:color="auto"/>
              <w:right w:val="single" w:sz="4" w:space="0" w:color="auto"/>
            </w:tcBorders>
            <w:shd w:val="clear" w:color="000000" w:fill="FDE9D9"/>
            <w:vAlign w:val="center"/>
          </w:tcPr>
          <w:p w:rsidR="00DC208D" w:rsidRDefault="00477813">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评委</w:t>
            </w:r>
          </w:p>
          <w:p w:rsidR="00DC208D" w:rsidRDefault="00477813">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打分</w:t>
            </w:r>
          </w:p>
        </w:tc>
      </w:tr>
      <w:tr w:rsidR="00DC208D">
        <w:trPr>
          <w:trHeight w:val="667"/>
        </w:trPr>
        <w:tc>
          <w:tcPr>
            <w:tcW w:w="1260" w:type="dxa"/>
            <w:tcBorders>
              <w:top w:val="single" w:sz="8" w:space="0" w:color="auto"/>
              <w:left w:val="single" w:sz="8" w:space="0" w:color="auto"/>
              <w:bottom w:val="single" w:sz="8" w:space="0" w:color="auto"/>
              <w:right w:val="single" w:sz="8" w:space="0" w:color="auto"/>
            </w:tcBorders>
            <w:shd w:val="clear" w:color="000000" w:fill="auto"/>
            <w:vAlign w:val="center"/>
          </w:tcPr>
          <w:p w:rsidR="00DC208D" w:rsidRDefault="00F31C27">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综合实力</w:t>
            </w:r>
          </w:p>
        </w:tc>
        <w:tc>
          <w:tcPr>
            <w:tcW w:w="780" w:type="dxa"/>
            <w:tcBorders>
              <w:top w:val="single" w:sz="8" w:space="0" w:color="auto"/>
              <w:left w:val="nil"/>
              <w:bottom w:val="single" w:sz="8" w:space="0" w:color="auto"/>
              <w:right w:val="single" w:sz="4" w:space="0" w:color="auto"/>
            </w:tcBorders>
            <w:shd w:val="clear" w:color="000000" w:fill="auto"/>
            <w:vAlign w:val="center"/>
          </w:tcPr>
          <w:p w:rsidR="00DC208D" w:rsidRDefault="00F31C27">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w:t>
            </w:r>
          </w:p>
        </w:tc>
        <w:tc>
          <w:tcPr>
            <w:tcW w:w="7185" w:type="dxa"/>
            <w:tcBorders>
              <w:top w:val="single" w:sz="4" w:space="0" w:color="auto"/>
              <w:left w:val="single" w:sz="4" w:space="0" w:color="auto"/>
              <w:bottom w:val="single" w:sz="4" w:space="0" w:color="auto"/>
              <w:right w:val="single" w:sz="4" w:space="0" w:color="auto"/>
            </w:tcBorders>
            <w:shd w:val="clear" w:color="000000" w:fill="auto"/>
            <w:vAlign w:val="center"/>
          </w:tcPr>
          <w:p w:rsidR="00DC208D" w:rsidRDefault="00477813">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（一）评分内容：</w:t>
            </w:r>
          </w:p>
          <w:p w:rsidR="00DC208D" w:rsidRDefault="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1、</w:t>
            </w:r>
            <w:r w:rsidR="0053755F">
              <w:rPr>
                <w:rFonts w:ascii="仿宋_GB2312" w:eastAsia="仿宋_GB2312" w:hAnsi="仿宋_GB2312" w:cs="仿宋_GB2312" w:hint="eastAsia"/>
                <w:color w:val="auto"/>
                <w:kern w:val="2"/>
              </w:rPr>
              <w:t>应选银行目前具备</w:t>
            </w:r>
            <w:r w:rsidR="00477813">
              <w:rPr>
                <w:rFonts w:ascii="仿宋_GB2312" w:eastAsia="仿宋_GB2312" w:hAnsi="仿宋_GB2312" w:cs="仿宋_GB2312" w:hint="eastAsia"/>
                <w:color w:val="auto"/>
                <w:kern w:val="2"/>
              </w:rPr>
              <w:t>在有效期内的各级财政国库集中支付代理银行资格。</w:t>
            </w:r>
          </w:p>
          <w:p w:rsidR="00DC208D" w:rsidRPr="00F31C27" w:rsidRDefault="00F31C27" w:rsidP="00F31C27">
            <w:pPr>
              <w:pStyle w:val="Default"/>
              <w:ind w:firstLine="480"/>
              <w:rPr>
                <w:rFonts w:ascii="仿宋_GB2312" w:eastAsia="仿宋_GB2312" w:hAnsi="仿宋_GB2312" w:cs="仿宋_GB2312"/>
                <w:bCs/>
                <w:color w:val="auto"/>
                <w:kern w:val="2"/>
              </w:rPr>
            </w:pPr>
            <w:r w:rsidRPr="00F31C27">
              <w:rPr>
                <w:rFonts w:ascii="仿宋_GB2312" w:eastAsia="仿宋_GB2312" w:hAnsi="仿宋_GB2312" w:cs="仿宋_GB2312" w:hint="eastAsia"/>
                <w:bCs/>
                <w:color w:val="auto"/>
                <w:kern w:val="2"/>
              </w:rPr>
              <w:t>2、应选银行具有深圳公务卡发卡资格。</w:t>
            </w:r>
          </w:p>
          <w:p w:rsidR="00F31C27" w:rsidRDefault="00F31C27" w:rsidP="00F31C27">
            <w:pPr>
              <w:pStyle w:val="Default"/>
              <w:ind w:firstLine="480"/>
              <w:rPr>
                <w:rFonts w:ascii="仿宋_GB2312" w:eastAsia="仿宋_GB2312" w:hAnsi="仿宋_GB2312" w:cs="仿宋_GB2312"/>
                <w:bCs/>
                <w:color w:val="auto"/>
                <w:kern w:val="2"/>
              </w:rPr>
            </w:pPr>
            <w:r w:rsidRPr="00F31C27">
              <w:rPr>
                <w:rFonts w:ascii="仿宋_GB2312" w:eastAsia="仿宋_GB2312" w:hAnsi="仿宋_GB2312" w:cs="仿宋_GB2312" w:hint="eastAsia"/>
                <w:bCs/>
                <w:color w:val="auto"/>
                <w:kern w:val="2"/>
              </w:rPr>
              <w:t>3、</w:t>
            </w:r>
            <w:r>
              <w:rPr>
                <w:rFonts w:ascii="仿宋_GB2312" w:eastAsia="仿宋_GB2312" w:hAnsi="仿宋_GB2312" w:cs="仿宋_GB2312" w:hint="eastAsia"/>
                <w:bCs/>
                <w:color w:val="auto"/>
                <w:kern w:val="2"/>
              </w:rPr>
              <w:t>深圳市内营业网点分布</w:t>
            </w:r>
            <w:r w:rsidR="0053755F">
              <w:rPr>
                <w:rFonts w:ascii="仿宋_GB2312" w:eastAsia="仿宋_GB2312" w:hAnsi="仿宋_GB2312" w:cs="仿宋_GB2312" w:hint="eastAsia"/>
                <w:bCs/>
                <w:color w:val="auto"/>
                <w:kern w:val="2"/>
              </w:rPr>
              <w:t>均匀，</w:t>
            </w:r>
            <w:r>
              <w:rPr>
                <w:rFonts w:ascii="仿宋_GB2312" w:eastAsia="仿宋_GB2312" w:hAnsi="仿宋_GB2312" w:cs="仿宋_GB2312" w:hint="eastAsia"/>
                <w:bCs/>
                <w:color w:val="auto"/>
                <w:kern w:val="2"/>
              </w:rPr>
              <w:t>数量</w:t>
            </w:r>
            <w:r w:rsidR="0053755F">
              <w:rPr>
                <w:rFonts w:ascii="仿宋_GB2312" w:eastAsia="仿宋_GB2312" w:hAnsi="仿宋_GB2312" w:cs="仿宋_GB2312" w:hint="eastAsia"/>
                <w:bCs/>
                <w:color w:val="auto"/>
                <w:kern w:val="2"/>
              </w:rPr>
              <w:t>较</w:t>
            </w:r>
            <w:r>
              <w:rPr>
                <w:rFonts w:ascii="仿宋_GB2312" w:eastAsia="仿宋_GB2312" w:hAnsi="仿宋_GB2312" w:cs="仿宋_GB2312" w:hint="eastAsia"/>
                <w:bCs/>
                <w:color w:val="auto"/>
                <w:kern w:val="2"/>
              </w:rPr>
              <w:t>多。</w:t>
            </w:r>
          </w:p>
          <w:p w:rsidR="00F31C27" w:rsidRPr="00F31C27" w:rsidRDefault="00F31C27" w:rsidP="00F31C27">
            <w:pPr>
              <w:pStyle w:val="Default"/>
              <w:ind w:firstLine="480"/>
              <w:rPr>
                <w:rFonts w:ascii="仿宋_GB2312" w:eastAsia="仿宋_GB2312" w:hAnsi="仿宋_GB2312" w:cs="仿宋_GB2312"/>
              </w:rPr>
            </w:pPr>
            <w:r>
              <w:rPr>
                <w:rFonts w:ascii="仿宋_GB2312" w:eastAsia="仿宋_GB2312" w:hAnsi="仿宋_GB2312" w:cs="仿宋_GB2312" w:hint="eastAsia"/>
                <w:bCs/>
                <w:color w:val="auto"/>
                <w:kern w:val="2"/>
              </w:rPr>
              <w:t>4、应选银行2020年度人行深圳中心分行综合评价情况。</w:t>
            </w:r>
          </w:p>
        </w:tc>
        <w:tc>
          <w:tcPr>
            <w:tcW w:w="975" w:type="dxa"/>
            <w:tcBorders>
              <w:top w:val="single" w:sz="4" w:space="0" w:color="auto"/>
              <w:left w:val="single" w:sz="4" w:space="0" w:color="auto"/>
              <w:bottom w:val="single" w:sz="4" w:space="0" w:color="auto"/>
              <w:right w:val="single" w:sz="4" w:space="0" w:color="auto"/>
            </w:tcBorders>
            <w:shd w:val="clear" w:color="000000" w:fill="auto"/>
            <w:vAlign w:val="center"/>
          </w:tcPr>
          <w:p w:rsidR="00DC208D" w:rsidRDefault="00DC208D">
            <w:pPr>
              <w:pStyle w:val="Default"/>
              <w:ind w:firstLineChars="200" w:firstLine="480"/>
              <w:rPr>
                <w:rFonts w:ascii="仿宋_GB2312" w:eastAsia="仿宋_GB2312" w:hAnsi="仿宋_GB2312" w:cs="仿宋_GB2312"/>
                <w:color w:val="auto"/>
                <w:kern w:val="2"/>
              </w:rPr>
            </w:pPr>
          </w:p>
        </w:tc>
      </w:tr>
      <w:tr w:rsidR="00DC208D" w:rsidTr="005674FB">
        <w:trPr>
          <w:trHeight w:val="3088"/>
        </w:trPr>
        <w:tc>
          <w:tcPr>
            <w:tcW w:w="1260" w:type="dxa"/>
            <w:tcBorders>
              <w:top w:val="single" w:sz="8" w:space="0" w:color="auto"/>
              <w:left w:val="single" w:sz="8" w:space="0" w:color="auto"/>
              <w:bottom w:val="single" w:sz="8" w:space="0" w:color="auto"/>
              <w:right w:val="single" w:sz="8" w:space="0" w:color="auto"/>
            </w:tcBorders>
            <w:shd w:val="clear" w:color="000000" w:fill="auto"/>
            <w:vAlign w:val="center"/>
          </w:tcPr>
          <w:p w:rsidR="00DC208D" w:rsidRDefault="00F31C27">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综合服务方案</w:t>
            </w:r>
          </w:p>
        </w:tc>
        <w:tc>
          <w:tcPr>
            <w:tcW w:w="780" w:type="dxa"/>
            <w:tcBorders>
              <w:top w:val="single" w:sz="8" w:space="0" w:color="auto"/>
              <w:left w:val="nil"/>
              <w:bottom w:val="single" w:sz="8" w:space="0" w:color="auto"/>
              <w:right w:val="single" w:sz="4" w:space="0" w:color="auto"/>
            </w:tcBorders>
            <w:shd w:val="clear" w:color="000000" w:fill="auto"/>
            <w:vAlign w:val="center"/>
          </w:tcPr>
          <w:p w:rsidR="00DC208D" w:rsidRDefault="00F31C27">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35</w:t>
            </w:r>
          </w:p>
        </w:tc>
        <w:tc>
          <w:tcPr>
            <w:tcW w:w="7185" w:type="dxa"/>
            <w:tcBorders>
              <w:top w:val="single" w:sz="4" w:space="0" w:color="auto"/>
              <w:left w:val="single" w:sz="4" w:space="0" w:color="auto"/>
              <w:bottom w:val="single" w:sz="4" w:space="0" w:color="auto"/>
              <w:right w:val="single" w:sz="4" w:space="0" w:color="auto"/>
            </w:tcBorders>
            <w:shd w:val="clear" w:color="000000" w:fill="auto"/>
            <w:vAlign w:val="center"/>
          </w:tcPr>
          <w:p w:rsidR="00F31C27" w:rsidRDefault="00F31C27" w:rsidP="00F31C27">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（一）评分内容：</w:t>
            </w:r>
          </w:p>
          <w:p w:rsidR="00F31C27" w:rsidRDefault="0053755F"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综合服务方案合理、可行、高效，包括</w:t>
            </w:r>
            <w:r w:rsidR="00F31C27">
              <w:rPr>
                <w:rFonts w:ascii="仿宋_GB2312" w:eastAsia="仿宋_GB2312" w:hAnsi="仿宋_GB2312" w:cs="仿宋_GB2312" w:hint="eastAsia"/>
                <w:color w:val="auto"/>
                <w:kern w:val="2"/>
              </w:rPr>
              <w:t>服务能力介绍、账户管理措施、风险防范技术、技术保障及安全保密措施、沟通机制是否合理高效。</w:t>
            </w:r>
          </w:p>
          <w:p w:rsidR="00F31C27" w:rsidRDefault="00F31C27" w:rsidP="00F31C27">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（二）评分依据：</w:t>
            </w:r>
          </w:p>
          <w:p w:rsidR="00DC208D" w:rsidRDefault="0053755F" w:rsidP="00480ED4">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根据横向比较结果，按照优、良、中等三个等级评选，根据</w:t>
            </w:r>
            <w:r w:rsidR="00F31C27">
              <w:rPr>
                <w:rFonts w:ascii="仿宋_GB2312" w:eastAsia="仿宋_GB2312" w:hAnsi="仿宋_GB2312" w:cs="仿宋_GB2312" w:hint="eastAsia"/>
                <w:color w:val="auto"/>
                <w:kern w:val="2"/>
              </w:rPr>
              <w:t>提供的方案内容评价。评价为</w:t>
            </w:r>
            <w:r>
              <w:rPr>
                <w:rFonts w:ascii="仿宋_GB2312" w:eastAsia="仿宋_GB2312" w:hAnsi="仿宋_GB2312" w:cs="仿宋_GB2312" w:hint="eastAsia"/>
                <w:color w:val="auto"/>
                <w:kern w:val="2"/>
              </w:rPr>
              <w:t>“</w:t>
            </w:r>
            <w:r w:rsidR="00F31C27">
              <w:rPr>
                <w:rFonts w:ascii="仿宋_GB2312" w:eastAsia="仿宋_GB2312" w:hAnsi="仿宋_GB2312" w:cs="仿宋_GB2312" w:hint="eastAsia"/>
                <w:color w:val="auto"/>
                <w:kern w:val="2"/>
              </w:rPr>
              <w:t>优</w:t>
            </w:r>
            <w:r>
              <w:rPr>
                <w:rFonts w:ascii="仿宋_GB2312" w:eastAsia="仿宋_GB2312" w:hAnsi="仿宋_GB2312" w:cs="仿宋_GB2312" w:hint="eastAsia"/>
                <w:color w:val="auto"/>
                <w:kern w:val="2"/>
              </w:rPr>
              <w:t>”</w:t>
            </w:r>
            <w:r w:rsidR="00F31C27">
              <w:rPr>
                <w:rFonts w:ascii="仿宋_GB2312" w:eastAsia="仿宋_GB2312" w:hAnsi="仿宋_GB2312" w:cs="仿宋_GB2312" w:hint="eastAsia"/>
                <w:color w:val="auto"/>
                <w:kern w:val="2"/>
              </w:rPr>
              <w:t>得</w:t>
            </w:r>
            <w:r>
              <w:rPr>
                <w:rFonts w:ascii="仿宋_GB2312" w:eastAsia="仿宋_GB2312" w:hAnsi="仿宋_GB2312" w:cs="仿宋_GB2312" w:hint="eastAsia"/>
                <w:color w:val="auto"/>
                <w:kern w:val="2"/>
              </w:rPr>
              <w:t>25-3</w:t>
            </w:r>
            <w:r w:rsidR="00F31C27">
              <w:rPr>
                <w:rFonts w:ascii="仿宋_GB2312" w:eastAsia="仿宋_GB2312" w:hAnsi="仿宋_GB2312" w:cs="仿宋_GB2312" w:hint="eastAsia"/>
                <w:color w:val="auto"/>
                <w:kern w:val="2"/>
              </w:rPr>
              <w:t>5分；评价为</w:t>
            </w:r>
            <w:r>
              <w:rPr>
                <w:rFonts w:ascii="仿宋_GB2312" w:eastAsia="仿宋_GB2312" w:hAnsi="仿宋_GB2312" w:cs="仿宋_GB2312" w:hint="eastAsia"/>
                <w:color w:val="auto"/>
                <w:kern w:val="2"/>
              </w:rPr>
              <w:t>“良”</w:t>
            </w:r>
            <w:r w:rsidR="00F31C27">
              <w:rPr>
                <w:rFonts w:ascii="仿宋_GB2312" w:eastAsia="仿宋_GB2312" w:hAnsi="仿宋_GB2312" w:cs="仿宋_GB2312" w:hint="eastAsia"/>
                <w:color w:val="auto"/>
                <w:kern w:val="2"/>
              </w:rPr>
              <w:t>得</w:t>
            </w:r>
            <w:r>
              <w:rPr>
                <w:rFonts w:ascii="仿宋_GB2312" w:eastAsia="仿宋_GB2312" w:hAnsi="仿宋_GB2312" w:cs="仿宋_GB2312" w:hint="eastAsia"/>
                <w:color w:val="auto"/>
                <w:kern w:val="2"/>
              </w:rPr>
              <w:t>15-25</w:t>
            </w:r>
            <w:r w:rsidR="00F31C27">
              <w:rPr>
                <w:rFonts w:ascii="仿宋_GB2312" w:eastAsia="仿宋_GB2312" w:hAnsi="仿宋_GB2312" w:cs="仿宋_GB2312" w:hint="eastAsia"/>
                <w:color w:val="auto"/>
                <w:kern w:val="2"/>
              </w:rPr>
              <w:t>分，评价为</w:t>
            </w:r>
            <w:r>
              <w:rPr>
                <w:rFonts w:ascii="仿宋_GB2312" w:eastAsia="仿宋_GB2312" w:hAnsi="仿宋_GB2312" w:cs="仿宋_GB2312" w:hint="eastAsia"/>
                <w:color w:val="auto"/>
                <w:kern w:val="2"/>
              </w:rPr>
              <w:t>“中”</w:t>
            </w:r>
            <w:r w:rsidR="00F31C27">
              <w:rPr>
                <w:rFonts w:ascii="仿宋_GB2312" w:eastAsia="仿宋_GB2312" w:hAnsi="仿宋_GB2312" w:cs="仿宋_GB2312" w:hint="eastAsia"/>
                <w:color w:val="auto"/>
                <w:kern w:val="2"/>
              </w:rPr>
              <w:t>得1</w:t>
            </w:r>
            <w:bookmarkStart w:id="0" w:name="_GoBack"/>
            <w:bookmarkEnd w:id="0"/>
            <w:r>
              <w:rPr>
                <w:rFonts w:ascii="仿宋_GB2312" w:eastAsia="仿宋_GB2312" w:hAnsi="仿宋_GB2312" w:cs="仿宋_GB2312" w:hint="eastAsia"/>
                <w:color w:val="auto"/>
                <w:kern w:val="2"/>
              </w:rPr>
              <w:t>0</w:t>
            </w:r>
            <w:r w:rsidR="00F31C27">
              <w:rPr>
                <w:rFonts w:ascii="仿宋_GB2312" w:eastAsia="仿宋_GB2312" w:hAnsi="仿宋_GB2312" w:cs="仿宋_GB2312" w:hint="eastAsia"/>
                <w:color w:val="auto"/>
                <w:kern w:val="2"/>
              </w:rPr>
              <w:t>-15分，其余不得分。</w:t>
            </w:r>
            <w:r w:rsidR="00480ED4">
              <w:rPr>
                <w:rFonts w:ascii="仿宋_GB2312" w:eastAsia="仿宋_GB2312" w:hAnsi="仿宋_GB2312" w:cs="仿宋_GB2312" w:hint="eastAsia"/>
                <w:color w:val="auto"/>
                <w:kern w:val="2"/>
              </w:rPr>
              <w:t xml:space="preserve"> </w:t>
            </w:r>
          </w:p>
        </w:tc>
        <w:tc>
          <w:tcPr>
            <w:tcW w:w="975" w:type="dxa"/>
            <w:tcBorders>
              <w:top w:val="single" w:sz="4" w:space="0" w:color="auto"/>
              <w:left w:val="single" w:sz="4" w:space="0" w:color="auto"/>
              <w:bottom w:val="single" w:sz="4" w:space="0" w:color="auto"/>
              <w:right w:val="single" w:sz="4" w:space="0" w:color="auto"/>
            </w:tcBorders>
            <w:shd w:val="clear" w:color="000000" w:fill="auto"/>
            <w:vAlign w:val="center"/>
          </w:tcPr>
          <w:p w:rsidR="00DC208D" w:rsidRDefault="00DC208D">
            <w:pPr>
              <w:pStyle w:val="Default"/>
              <w:ind w:firstLineChars="200" w:firstLine="480"/>
              <w:rPr>
                <w:rFonts w:ascii="仿宋_GB2312" w:eastAsia="仿宋_GB2312" w:hAnsi="仿宋_GB2312" w:cs="仿宋_GB2312"/>
                <w:color w:val="auto"/>
                <w:kern w:val="2"/>
              </w:rPr>
            </w:pPr>
          </w:p>
        </w:tc>
      </w:tr>
      <w:tr w:rsidR="00DC208D" w:rsidTr="00480ED4">
        <w:trPr>
          <w:trHeight w:val="548"/>
        </w:trPr>
        <w:tc>
          <w:tcPr>
            <w:tcW w:w="1260" w:type="dxa"/>
            <w:tcBorders>
              <w:top w:val="single" w:sz="8" w:space="0" w:color="auto"/>
              <w:left w:val="single" w:sz="8" w:space="0" w:color="auto"/>
              <w:bottom w:val="single" w:sz="8" w:space="0" w:color="auto"/>
              <w:right w:val="single" w:sz="8" w:space="0" w:color="auto"/>
            </w:tcBorders>
            <w:shd w:val="clear" w:color="000000" w:fill="auto"/>
            <w:vAlign w:val="center"/>
          </w:tcPr>
          <w:p w:rsidR="00DC208D" w:rsidRDefault="00F31C27">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需求响应方案</w:t>
            </w:r>
          </w:p>
        </w:tc>
        <w:tc>
          <w:tcPr>
            <w:tcW w:w="780" w:type="dxa"/>
            <w:tcBorders>
              <w:top w:val="single" w:sz="8" w:space="0" w:color="auto"/>
              <w:left w:val="nil"/>
              <w:bottom w:val="single" w:sz="8" w:space="0" w:color="auto"/>
              <w:right w:val="single" w:sz="4" w:space="0" w:color="auto"/>
            </w:tcBorders>
            <w:shd w:val="clear" w:color="000000" w:fill="auto"/>
            <w:vAlign w:val="center"/>
          </w:tcPr>
          <w:p w:rsidR="00DC208D" w:rsidRDefault="00F31C27">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25</w:t>
            </w:r>
          </w:p>
        </w:tc>
        <w:tc>
          <w:tcPr>
            <w:tcW w:w="7185" w:type="dxa"/>
            <w:tcBorders>
              <w:top w:val="single" w:sz="4" w:space="0" w:color="auto"/>
              <w:left w:val="single" w:sz="4" w:space="0" w:color="auto"/>
              <w:bottom w:val="single" w:sz="4" w:space="0" w:color="auto"/>
              <w:right w:val="single" w:sz="4" w:space="0" w:color="auto"/>
            </w:tcBorders>
            <w:shd w:val="clear" w:color="000000" w:fill="auto"/>
            <w:vAlign w:val="center"/>
          </w:tcPr>
          <w:p w:rsidR="00F31C27" w:rsidRDefault="00F31C27" w:rsidP="00F31C27">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（一）评分内容：</w:t>
            </w:r>
          </w:p>
          <w:p w:rsidR="00F31C27"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承诺能完全按照项目需求进行系统建设，并提供《需求响应承诺函》，在此基础上：</w:t>
            </w:r>
          </w:p>
          <w:p w:rsidR="00F31C27"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1.《需求响应承诺函》内容包括违约责任，且违约责任具体、可执行性强。评审小组根据违约责任情况综合比较，酌情0-6分。</w:t>
            </w:r>
          </w:p>
          <w:p w:rsidR="00F31C27"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2.对项目需求的重点难点分析和表述准确，提供科学可行的解决方案。评审小组根据重点难点分析及解决方案科学情况综合比较，酌情</w:t>
            </w:r>
            <w:r w:rsidR="0053755F">
              <w:rPr>
                <w:rFonts w:ascii="仿宋_GB2312" w:eastAsia="仿宋_GB2312" w:hAnsi="仿宋_GB2312" w:cs="仿宋_GB2312" w:hint="eastAsia"/>
                <w:color w:val="auto"/>
                <w:kern w:val="2"/>
              </w:rPr>
              <w:t>0-19</w:t>
            </w:r>
            <w:r>
              <w:rPr>
                <w:rFonts w:ascii="仿宋_GB2312" w:eastAsia="仿宋_GB2312" w:hAnsi="仿宋_GB2312" w:cs="仿宋_GB2312" w:hint="eastAsia"/>
                <w:color w:val="auto"/>
                <w:kern w:val="2"/>
              </w:rPr>
              <w:t>分。</w:t>
            </w:r>
          </w:p>
          <w:p w:rsidR="00F31C27"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以上两项累计得分，最高得</w:t>
            </w:r>
            <w:r w:rsidR="0053755F">
              <w:rPr>
                <w:rFonts w:ascii="仿宋_GB2312" w:eastAsia="仿宋_GB2312" w:hAnsi="仿宋_GB2312" w:cs="仿宋_GB2312" w:hint="eastAsia"/>
                <w:color w:val="auto"/>
                <w:kern w:val="2"/>
              </w:rPr>
              <w:t>25</w:t>
            </w:r>
            <w:r>
              <w:rPr>
                <w:rFonts w:ascii="仿宋_GB2312" w:eastAsia="仿宋_GB2312" w:hAnsi="仿宋_GB2312" w:cs="仿宋_GB2312" w:hint="eastAsia"/>
                <w:color w:val="auto"/>
                <w:kern w:val="2"/>
              </w:rPr>
              <w:t>分。</w:t>
            </w:r>
          </w:p>
          <w:p w:rsidR="00F31C27" w:rsidRDefault="00F31C27" w:rsidP="00F31C27">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（二）评分依据：</w:t>
            </w:r>
          </w:p>
          <w:p w:rsidR="00F31C27"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1.</w:t>
            </w:r>
            <w:r w:rsidR="00480ED4">
              <w:rPr>
                <w:rFonts w:ascii="仿宋_GB2312" w:eastAsia="仿宋_GB2312" w:hAnsi="仿宋_GB2312" w:cs="仿宋_GB2312" w:hint="eastAsia"/>
                <w:color w:val="auto"/>
                <w:kern w:val="2"/>
              </w:rPr>
              <w:t>系统实现对民办学校资金往来</w:t>
            </w:r>
            <w:r>
              <w:rPr>
                <w:rFonts w:ascii="仿宋_GB2312" w:eastAsia="仿宋_GB2312" w:hAnsi="仿宋_GB2312" w:cs="仿宋_GB2312" w:hint="eastAsia"/>
                <w:color w:val="auto"/>
                <w:kern w:val="2"/>
              </w:rPr>
              <w:t>分级监管。</w:t>
            </w:r>
          </w:p>
          <w:p w:rsidR="00F31C27"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2.</w:t>
            </w:r>
            <w:r w:rsidR="00480ED4">
              <w:rPr>
                <w:rFonts w:ascii="仿宋_GB2312" w:eastAsia="仿宋_GB2312" w:hAnsi="仿宋_GB2312" w:cs="仿宋_GB2312" w:hint="eastAsia"/>
                <w:color w:val="auto"/>
                <w:kern w:val="2"/>
              </w:rPr>
              <w:t>系统</w:t>
            </w:r>
            <w:r>
              <w:rPr>
                <w:rFonts w:ascii="仿宋_GB2312" w:eastAsia="仿宋_GB2312" w:hAnsi="仿宋_GB2312" w:cs="仿宋_GB2312" w:hint="eastAsia"/>
                <w:color w:val="auto"/>
                <w:kern w:val="2"/>
              </w:rPr>
              <w:t>实现市、区两级教育主管部门对民办学校财务、资产和工薪记账明细、业务合理性监控与预警。</w:t>
            </w:r>
          </w:p>
          <w:p w:rsidR="00F31C27"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3.</w:t>
            </w:r>
            <w:r w:rsidR="00480ED4">
              <w:rPr>
                <w:rFonts w:ascii="仿宋_GB2312" w:eastAsia="仿宋_GB2312" w:hAnsi="仿宋_GB2312" w:cs="仿宋_GB2312" w:hint="eastAsia"/>
                <w:color w:val="auto"/>
                <w:kern w:val="2"/>
              </w:rPr>
              <w:t>系统</w:t>
            </w:r>
            <w:r>
              <w:rPr>
                <w:rFonts w:ascii="仿宋_GB2312" w:eastAsia="仿宋_GB2312" w:hAnsi="仿宋_GB2312" w:cs="仿宋_GB2312" w:hint="eastAsia"/>
                <w:color w:val="auto"/>
                <w:kern w:val="2"/>
              </w:rPr>
              <w:t>实现财务与资产、财务与工薪之间业务数据监管，实现财务系统与资产系统、财务系统与工薪系统之间数据不一致性风险监管。</w:t>
            </w:r>
          </w:p>
          <w:p w:rsidR="00F31C27"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4.</w:t>
            </w:r>
            <w:r w:rsidR="00480ED4">
              <w:rPr>
                <w:rFonts w:ascii="仿宋_GB2312" w:eastAsia="仿宋_GB2312" w:hAnsi="仿宋_GB2312" w:cs="仿宋_GB2312" w:hint="eastAsia"/>
                <w:color w:val="auto"/>
                <w:kern w:val="2"/>
              </w:rPr>
              <w:t>系统</w:t>
            </w:r>
            <w:r>
              <w:rPr>
                <w:rFonts w:ascii="仿宋_GB2312" w:eastAsia="仿宋_GB2312" w:hAnsi="仿宋_GB2312" w:cs="仿宋_GB2312" w:hint="eastAsia"/>
                <w:color w:val="auto"/>
                <w:kern w:val="2"/>
              </w:rPr>
              <w:t>实现按层级展示数据统计以及按小学、初中、高中和区域等自动分级分类汇总报表功能。</w:t>
            </w:r>
          </w:p>
          <w:p w:rsidR="00DC208D" w:rsidRDefault="00F31C27" w:rsidP="00F31C27">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5.研发人员专业能力强，研发力量充足，</w:t>
            </w:r>
            <w:r w:rsidR="005674FB">
              <w:rPr>
                <w:rFonts w:ascii="仿宋_GB2312" w:eastAsia="仿宋_GB2312" w:hAnsi="仿宋_GB2312" w:cs="仿宋_GB2312" w:hint="eastAsia"/>
                <w:color w:val="auto"/>
                <w:kern w:val="2"/>
              </w:rPr>
              <w:t>研发时间安排合理</w:t>
            </w:r>
            <w:r>
              <w:rPr>
                <w:rFonts w:ascii="仿宋_GB2312" w:eastAsia="仿宋_GB2312" w:hAnsi="仿宋_GB2312" w:cs="仿宋_GB2312" w:hint="eastAsia"/>
                <w:color w:val="auto"/>
                <w:kern w:val="2"/>
              </w:rPr>
              <w:t>，能按时完成研发工作。</w:t>
            </w:r>
          </w:p>
        </w:tc>
        <w:tc>
          <w:tcPr>
            <w:tcW w:w="975" w:type="dxa"/>
            <w:tcBorders>
              <w:top w:val="single" w:sz="4" w:space="0" w:color="auto"/>
              <w:left w:val="single" w:sz="4" w:space="0" w:color="auto"/>
              <w:bottom w:val="single" w:sz="4" w:space="0" w:color="auto"/>
              <w:right w:val="single" w:sz="4" w:space="0" w:color="auto"/>
            </w:tcBorders>
            <w:shd w:val="clear" w:color="000000" w:fill="auto"/>
            <w:vAlign w:val="center"/>
          </w:tcPr>
          <w:p w:rsidR="00DC208D" w:rsidRDefault="00DC208D">
            <w:pPr>
              <w:pStyle w:val="Default"/>
              <w:ind w:firstLineChars="200" w:firstLine="480"/>
              <w:rPr>
                <w:rFonts w:ascii="仿宋_GB2312" w:eastAsia="仿宋_GB2312" w:hAnsi="仿宋_GB2312" w:cs="仿宋_GB2312"/>
                <w:color w:val="auto"/>
                <w:kern w:val="2"/>
              </w:rPr>
            </w:pPr>
          </w:p>
        </w:tc>
      </w:tr>
      <w:tr w:rsidR="00DC208D" w:rsidTr="005674FB">
        <w:trPr>
          <w:trHeight w:val="2674"/>
        </w:trPr>
        <w:tc>
          <w:tcPr>
            <w:tcW w:w="1260" w:type="dxa"/>
            <w:tcBorders>
              <w:top w:val="single" w:sz="8" w:space="0" w:color="auto"/>
              <w:left w:val="single" w:sz="8" w:space="0" w:color="auto"/>
              <w:bottom w:val="single" w:sz="8" w:space="0" w:color="auto"/>
              <w:right w:val="single" w:sz="8" w:space="0" w:color="auto"/>
            </w:tcBorders>
            <w:shd w:val="clear" w:color="000000" w:fill="auto"/>
            <w:vAlign w:val="center"/>
          </w:tcPr>
          <w:p w:rsidR="00DC208D" w:rsidRDefault="00F31C27">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民办学校资金监管服务经验</w:t>
            </w:r>
          </w:p>
        </w:tc>
        <w:tc>
          <w:tcPr>
            <w:tcW w:w="780" w:type="dxa"/>
            <w:tcBorders>
              <w:top w:val="single" w:sz="8" w:space="0" w:color="auto"/>
              <w:left w:val="nil"/>
              <w:bottom w:val="single" w:sz="8" w:space="0" w:color="auto"/>
              <w:right w:val="single" w:sz="4" w:space="0" w:color="auto"/>
            </w:tcBorders>
            <w:shd w:val="clear" w:color="000000" w:fill="auto"/>
            <w:vAlign w:val="center"/>
          </w:tcPr>
          <w:p w:rsidR="00DC208D" w:rsidRDefault="0054578C">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r w:rsidR="00477813">
              <w:rPr>
                <w:rFonts w:ascii="仿宋_GB2312" w:eastAsia="仿宋_GB2312" w:hAnsi="仿宋_GB2312" w:cs="仿宋_GB2312" w:hint="eastAsia"/>
                <w:color w:val="000000"/>
                <w:kern w:val="0"/>
                <w:sz w:val="24"/>
                <w:szCs w:val="24"/>
              </w:rPr>
              <w:t>5</w:t>
            </w:r>
          </w:p>
        </w:tc>
        <w:tc>
          <w:tcPr>
            <w:tcW w:w="7185" w:type="dxa"/>
            <w:tcBorders>
              <w:top w:val="single" w:sz="4" w:space="0" w:color="auto"/>
              <w:left w:val="single" w:sz="4" w:space="0" w:color="auto"/>
              <w:bottom w:val="single" w:sz="4" w:space="0" w:color="auto"/>
              <w:right w:val="single" w:sz="4" w:space="0" w:color="auto"/>
            </w:tcBorders>
            <w:shd w:val="clear" w:color="000000" w:fill="auto"/>
            <w:vAlign w:val="center"/>
          </w:tcPr>
          <w:p w:rsidR="0054578C" w:rsidRDefault="00F31C27" w:rsidP="0054578C">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 xml:space="preserve"> </w:t>
            </w:r>
            <w:r w:rsidR="0054578C">
              <w:rPr>
                <w:rFonts w:ascii="仿宋_GB2312" w:eastAsia="仿宋_GB2312" w:hAnsi="仿宋_GB2312" w:cs="仿宋_GB2312" w:hint="eastAsia"/>
                <w:b/>
                <w:bCs/>
                <w:color w:val="auto"/>
                <w:kern w:val="2"/>
              </w:rPr>
              <w:t>（一）评分内容：</w:t>
            </w:r>
          </w:p>
          <w:p w:rsidR="0054578C"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应选银行全市范围内</w:t>
            </w:r>
            <w:r w:rsidR="00480ED4">
              <w:rPr>
                <w:rFonts w:ascii="仿宋_GB2312" w:eastAsia="仿宋_GB2312" w:hAnsi="仿宋_GB2312" w:cs="仿宋_GB2312" w:hint="eastAsia"/>
                <w:color w:val="auto"/>
                <w:kern w:val="2"/>
              </w:rPr>
              <w:t>有</w:t>
            </w:r>
            <w:r>
              <w:rPr>
                <w:rFonts w:ascii="仿宋_GB2312" w:eastAsia="仿宋_GB2312" w:hAnsi="仿宋_GB2312" w:cs="仿宋_GB2312" w:hint="eastAsia"/>
                <w:color w:val="auto"/>
                <w:kern w:val="2"/>
              </w:rPr>
              <w:t>开展民办学校资金监管（托管）服务经验。</w:t>
            </w:r>
          </w:p>
          <w:p w:rsidR="0054578C" w:rsidRDefault="0054578C" w:rsidP="0054578C">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（二）评分依据：</w:t>
            </w:r>
          </w:p>
          <w:p w:rsidR="00DC208D"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应选银行每具备一个区民办学校资金监管（托管）服务经验得</w:t>
            </w:r>
            <w:r w:rsidR="0053755F">
              <w:rPr>
                <w:rFonts w:ascii="仿宋_GB2312" w:eastAsia="仿宋_GB2312" w:hAnsi="仿宋_GB2312" w:cs="仿宋_GB2312" w:hint="eastAsia"/>
                <w:color w:val="auto"/>
                <w:kern w:val="2"/>
              </w:rPr>
              <w:t>1.5</w:t>
            </w:r>
            <w:r>
              <w:rPr>
                <w:rFonts w:ascii="仿宋_GB2312" w:eastAsia="仿宋_GB2312" w:hAnsi="仿宋_GB2312" w:cs="仿宋_GB2312" w:hint="eastAsia"/>
                <w:color w:val="auto"/>
                <w:kern w:val="2"/>
              </w:rPr>
              <w:t>分</w:t>
            </w:r>
            <w:r w:rsidR="0053755F">
              <w:rPr>
                <w:rFonts w:ascii="仿宋_GB2312" w:eastAsia="仿宋_GB2312" w:hAnsi="仿宋_GB2312" w:cs="仿宋_GB2312" w:hint="eastAsia"/>
                <w:color w:val="auto"/>
                <w:kern w:val="2"/>
              </w:rPr>
              <w:t>，最高</w:t>
            </w:r>
            <w:r w:rsidR="00480ED4">
              <w:rPr>
                <w:rFonts w:ascii="仿宋_GB2312" w:eastAsia="仿宋_GB2312" w:hAnsi="仿宋_GB2312" w:cs="仿宋_GB2312" w:hint="eastAsia"/>
                <w:color w:val="auto"/>
                <w:kern w:val="2"/>
              </w:rPr>
              <w:t>总</w:t>
            </w:r>
            <w:r w:rsidR="0053755F">
              <w:rPr>
                <w:rFonts w:ascii="仿宋_GB2312" w:eastAsia="仿宋_GB2312" w:hAnsi="仿宋_GB2312" w:cs="仿宋_GB2312" w:hint="eastAsia"/>
                <w:color w:val="auto"/>
                <w:kern w:val="2"/>
              </w:rPr>
              <w:t>分15分</w:t>
            </w:r>
            <w:r>
              <w:rPr>
                <w:rFonts w:ascii="仿宋_GB2312" w:eastAsia="仿宋_GB2312" w:hAnsi="仿宋_GB2312" w:cs="仿宋_GB2312" w:hint="eastAsia"/>
                <w:color w:val="auto"/>
                <w:kern w:val="2"/>
              </w:rPr>
              <w:t>。应选银行需提供与教育主管部门签订的服务协议扫描件，原件备查，与同一教育主管部门签署的协议提供一份即可，不重复计分。</w:t>
            </w:r>
          </w:p>
        </w:tc>
        <w:tc>
          <w:tcPr>
            <w:tcW w:w="975" w:type="dxa"/>
            <w:tcBorders>
              <w:top w:val="single" w:sz="4" w:space="0" w:color="auto"/>
              <w:left w:val="single" w:sz="4" w:space="0" w:color="auto"/>
              <w:bottom w:val="single" w:sz="4" w:space="0" w:color="auto"/>
              <w:right w:val="single" w:sz="4" w:space="0" w:color="auto"/>
            </w:tcBorders>
            <w:shd w:val="clear" w:color="000000" w:fill="auto"/>
            <w:vAlign w:val="center"/>
          </w:tcPr>
          <w:p w:rsidR="00DC208D" w:rsidRDefault="00DC208D">
            <w:pPr>
              <w:pStyle w:val="Default"/>
              <w:ind w:firstLineChars="200" w:firstLine="480"/>
              <w:rPr>
                <w:rFonts w:ascii="仿宋_GB2312" w:eastAsia="仿宋_GB2312" w:hAnsi="仿宋_GB2312" w:cs="仿宋_GB2312"/>
                <w:color w:val="auto"/>
                <w:kern w:val="2"/>
              </w:rPr>
            </w:pPr>
          </w:p>
        </w:tc>
      </w:tr>
      <w:tr w:rsidR="00DC208D" w:rsidTr="005674FB">
        <w:trPr>
          <w:trHeight w:val="2702"/>
        </w:trPr>
        <w:tc>
          <w:tcPr>
            <w:tcW w:w="1260" w:type="dxa"/>
            <w:tcBorders>
              <w:top w:val="single" w:sz="8" w:space="0" w:color="auto"/>
              <w:left w:val="single" w:sz="8" w:space="0" w:color="auto"/>
              <w:bottom w:val="single" w:sz="8" w:space="0" w:color="auto"/>
              <w:right w:val="single" w:sz="8" w:space="0" w:color="auto"/>
            </w:tcBorders>
            <w:shd w:val="clear" w:color="000000" w:fill="auto"/>
            <w:vAlign w:val="center"/>
          </w:tcPr>
          <w:p w:rsidR="00DC208D" w:rsidRDefault="0054578C">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服务团队</w:t>
            </w:r>
          </w:p>
        </w:tc>
        <w:tc>
          <w:tcPr>
            <w:tcW w:w="780" w:type="dxa"/>
            <w:tcBorders>
              <w:top w:val="single" w:sz="8" w:space="0" w:color="auto"/>
              <w:left w:val="nil"/>
              <w:bottom w:val="single" w:sz="8" w:space="0" w:color="auto"/>
              <w:right w:val="single" w:sz="4" w:space="0" w:color="auto"/>
            </w:tcBorders>
            <w:shd w:val="clear" w:color="000000" w:fill="auto"/>
            <w:vAlign w:val="center"/>
          </w:tcPr>
          <w:p w:rsidR="00DC208D" w:rsidRDefault="0054578C">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10 </w:t>
            </w:r>
          </w:p>
        </w:tc>
        <w:tc>
          <w:tcPr>
            <w:tcW w:w="7185" w:type="dxa"/>
            <w:tcBorders>
              <w:top w:val="single" w:sz="4" w:space="0" w:color="auto"/>
              <w:left w:val="single" w:sz="4" w:space="0" w:color="auto"/>
              <w:bottom w:val="single" w:sz="4" w:space="0" w:color="auto"/>
              <w:right w:val="single" w:sz="4" w:space="0" w:color="auto"/>
            </w:tcBorders>
            <w:shd w:val="clear" w:color="000000" w:fill="auto"/>
            <w:vAlign w:val="center"/>
          </w:tcPr>
          <w:p w:rsidR="0054578C" w:rsidRDefault="0054578C" w:rsidP="0054578C">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（一）评分内容：</w:t>
            </w:r>
          </w:p>
          <w:p w:rsidR="0054578C"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能够提供用于执行该服务合作不少于4人的核心工作团队。</w:t>
            </w:r>
          </w:p>
          <w:p w:rsidR="0054578C" w:rsidRDefault="0054578C" w:rsidP="0054578C">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（二）评分依据：</w:t>
            </w:r>
          </w:p>
          <w:p w:rsidR="0054578C"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1.配备一</w:t>
            </w:r>
            <w:r w:rsidR="007D2AB9">
              <w:rPr>
                <w:rFonts w:ascii="仿宋_GB2312" w:eastAsia="仿宋_GB2312" w:hAnsi="仿宋_GB2312" w:cs="仿宋_GB2312" w:hint="eastAsia"/>
                <w:color w:val="auto"/>
                <w:kern w:val="2"/>
              </w:rPr>
              <w:t>名项目负责人，并且在服务期间配备业务服务团队提供服务，团队人员保持相对稳定，不</w:t>
            </w:r>
            <w:r>
              <w:rPr>
                <w:rFonts w:ascii="仿宋_GB2312" w:eastAsia="仿宋_GB2312" w:hAnsi="仿宋_GB2312" w:cs="仿宋_GB2312" w:hint="eastAsia"/>
                <w:color w:val="auto"/>
                <w:kern w:val="2"/>
              </w:rPr>
              <w:t>随意更换</w:t>
            </w:r>
            <w:r w:rsidR="007D2AB9">
              <w:rPr>
                <w:rFonts w:ascii="仿宋_GB2312" w:eastAsia="仿宋_GB2312" w:hAnsi="仿宋_GB2312" w:cs="仿宋_GB2312" w:hint="eastAsia"/>
                <w:color w:val="auto"/>
                <w:kern w:val="2"/>
              </w:rPr>
              <w:t>。作出上述承诺</w:t>
            </w:r>
            <w:r>
              <w:rPr>
                <w:rFonts w:ascii="仿宋_GB2312" w:eastAsia="仿宋_GB2312" w:hAnsi="仿宋_GB2312" w:cs="仿宋_GB2312" w:hint="eastAsia"/>
                <w:color w:val="auto"/>
                <w:kern w:val="2"/>
              </w:rPr>
              <w:t>的得</w:t>
            </w:r>
            <w:r w:rsidR="0053755F">
              <w:rPr>
                <w:rFonts w:ascii="仿宋_GB2312" w:eastAsia="仿宋_GB2312" w:hAnsi="仿宋_GB2312" w:cs="仿宋_GB2312" w:hint="eastAsia"/>
                <w:color w:val="auto"/>
                <w:kern w:val="2"/>
              </w:rPr>
              <w:t>5</w:t>
            </w:r>
            <w:r>
              <w:rPr>
                <w:rFonts w:ascii="仿宋_GB2312" w:eastAsia="仿宋_GB2312" w:hAnsi="仿宋_GB2312" w:cs="仿宋_GB2312" w:hint="eastAsia"/>
                <w:color w:val="auto"/>
                <w:kern w:val="2"/>
              </w:rPr>
              <w:t>分，不承诺</w:t>
            </w:r>
            <w:r w:rsidR="007D2AB9">
              <w:rPr>
                <w:rFonts w:ascii="仿宋_GB2312" w:eastAsia="仿宋_GB2312" w:hAnsi="仿宋_GB2312" w:cs="仿宋_GB2312" w:hint="eastAsia"/>
                <w:color w:val="auto"/>
                <w:kern w:val="2"/>
              </w:rPr>
              <w:t>的</w:t>
            </w:r>
            <w:r>
              <w:rPr>
                <w:rFonts w:ascii="仿宋_GB2312" w:eastAsia="仿宋_GB2312" w:hAnsi="仿宋_GB2312" w:cs="仿宋_GB2312" w:hint="eastAsia"/>
                <w:color w:val="auto"/>
                <w:kern w:val="2"/>
              </w:rPr>
              <w:t>不得分。</w:t>
            </w:r>
          </w:p>
          <w:p w:rsidR="00DC208D"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2.提供团队组成情况及团队响应方案，评审小组根据方案情况综合比较，酌情</w:t>
            </w:r>
            <w:r w:rsidR="0053755F">
              <w:rPr>
                <w:rFonts w:ascii="仿宋_GB2312" w:eastAsia="仿宋_GB2312" w:hAnsi="仿宋_GB2312" w:cs="仿宋_GB2312" w:hint="eastAsia"/>
                <w:color w:val="auto"/>
                <w:kern w:val="2"/>
              </w:rPr>
              <w:t>0-5</w:t>
            </w:r>
            <w:r>
              <w:rPr>
                <w:rFonts w:ascii="仿宋_GB2312" w:eastAsia="仿宋_GB2312" w:hAnsi="仿宋_GB2312" w:cs="仿宋_GB2312" w:hint="eastAsia"/>
                <w:color w:val="auto"/>
                <w:kern w:val="2"/>
              </w:rPr>
              <w:t>分。</w:t>
            </w:r>
          </w:p>
        </w:tc>
        <w:tc>
          <w:tcPr>
            <w:tcW w:w="975" w:type="dxa"/>
            <w:tcBorders>
              <w:top w:val="single" w:sz="4" w:space="0" w:color="auto"/>
              <w:left w:val="single" w:sz="4" w:space="0" w:color="auto"/>
              <w:bottom w:val="single" w:sz="4" w:space="0" w:color="auto"/>
              <w:right w:val="single" w:sz="4" w:space="0" w:color="auto"/>
            </w:tcBorders>
            <w:shd w:val="clear" w:color="000000" w:fill="auto"/>
            <w:vAlign w:val="center"/>
          </w:tcPr>
          <w:p w:rsidR="00DC208D" w:rsidRDefault="00DC208D">
            <w:pPr>
              <w:pStyle w:val="Default"/>
              <w:ind w:firstLineChars="200" w:firstLine="480"/>
              <w:rPr>
                <w:rFonts w:ascii="仿宋_GB2312" w:eastAsia="仿宋_GB2312" w:hAnsi="仿宋_GB2312" w:cs="仿宋_GB2312"/>
                <w:color w:val="auto"/>
                <w:kern w:val="2"/>
              </w:rPr>
            </w:pPr>
          </w:p>
        </w:tc>
      </w:tr>
      <w:tr w:rsidR="00DC208D" w:rsidTr="005674FB">
        <w:trPr>
          <w:trHeight w:val="3603"/>
        </w:trPr>
        <w:tc>
          <w:tcPr>
            <w:tcW w:w="1260" w:type="dxa"/>
            <w:tcBorders>
              <w:top w:val="single" w:sz="8" w:space="0" w:color="auto"/>
              <w:left w:val="single" w:sz="8" w:space="0" w:color="auto"/>
              <w:bottom w:val="single" w:sz="8" w:space="0" w:color="auto"/>
              <w:right w:val="single" w:sz="8" w:space="0" w:color="auto"/>
            </w:tcBorders>
            <w:shd w:val="clear" w:color="000000" w:fill="auto"/>
            <w:vAlign w:val="center"/>
          </w:tcPr>
          <w:p w:rsidR="00DC208D" w:rsidRDefault="0054578C">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诚信管理情况</w:t>
            </w:r>
          </w:p>
        </w:tc>
        <w:tc>
          <w:tcPr>
            <w:tcW w:w="780" w:type="dxa"/>
            <w:tcBorders>
              <w:top w:val="single" w:sz="8" w:space="0" w:color="auto"/>
              <w:left w:val="nil"/>
              <w:bottom w:val="single" w:sz="8" w:space="0" w:color="auto"/>
              <w:right w:val="single" w:sz="4" w:space="0" w:color="auto"/>
            </w:tcBorders>
            <w:shd w:val="clear" w:color="000000" w:fill="auto"/>
            <w:vAlign w:val="center"/>
          </w:tcPr>
          <w:p w:rsidR="00DC208D" w:rsidRDefault="0054578C">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5 </w:t>
            </w:r>
          </w:p>
        </w:tc>
        <w:tc>
          <w:tcPr>
            <w:tcW w:w="7185" w:type="dxa"/>
            <w:tcBorders>
              <w:top w:val="single" w:sz="4" w:space="0" w:color="auto"/>
              <w:left w:val="single" w:sz="4" w:space="0" w:color="auto"/>
              <w:bottom w:val="single" w:sz="4" w:space="0" w:color="auto"/>
              <w:right w:val="single" w:sz="4" w:space="0" w:color="auto"/>
            </w:tcBorders>
            <w:shd w:val="clear" w:color="000000" w:fill="auto"/>
            <w:vAlign w:val="center"/>
          </w:tcPr>
          <w:p w:rsidR="0054578C" w:rsidRDefault="0054578C" w:rsidP="0054578C">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（一）评分内容：</w:t>
            </w:r>
          </w:p>
          <w:p w:rsidR="0054578C"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在政府采购领域诚信情况</w:t>
            </w:r>
            <w:r w:rsidR="0053755F">
              <w:rPr>
                <w:rFonts w:ascii="仿宋_GB2312" w:eastAsia="仿宋_GB2312" w:hAnsi="仿宋_GB2312" w:cs="仿宋_GB2312" w:hint="eastAsia"/>
                <w:color w:val="auto"/>
                <w:kern w:val="2"/>
              </w:rPr>
              <w:t xml:space="preserve"> </w:t>
            </w:r>
            <w:r>
              <w:rPr>
                <w:rFonts w:ascii="仿宋_GB2312" w:eastAsia="仿宋_GB2312" w:hAnsi="仿宋_GB2312" w:cs="仿宋_GB2312" w:hint="eastAsia"/>
                <w:color w:val="auto"/>
                <w:kern w:val="2"/>
              </w:rPr>
              <w:t>。</w:t>
            </w:r>
          </w:p>
          <w:p w:rsidR="0054578C" w:rsidRDefault="0054578C" w:rsidP="0054578C">
            <w:pPr>
              <w:pStyle w:val="Default"/>
              <w:rPr>
                <w:rFonts w:ascii="仿宋_GB2312" w:eastAsia="仿宋_GB2312" w:hAnsi="仿宋_GB2312" w:cs="仿宋_GB2312"/>
                <w:b/>
                <w:bCs/>
                <w:color w:val="auto"/>
                <w:kern w:val="2"/>
              </w:rPr>
            </w:pPr>
            <w:r>
              <w:rPr>
                <w:rFonts w:ascii="仿宋_GB2312" w:eastAsia="仿宋_GB2312" w:hAnsi="仿宋_GB2312" w:cs="仿宋_GB2312" w:hint="eastAsia"/>
                <w:b/>
                <w:bCs/>
                <w:color w:val="auto"/>
                <w:kern w:val="2"/>
              </w:rPr>
              <w:t>（二）评分依据：</w:t>
            </w:r>
          </w:p>
          <w:p w:rsidR="0054578C"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1.在本项目投标截止前，不存在被政府部门作出行政处罚的情形（近三年经营活动活动中存在重大违法记录的除外），按照证明文件要求提供信用记录截图的，本项得4</w:t>
            </w:r>
            <w:r w:rsidR="0053755F">
              <w:rPr>
                <w:rFonts w:ascii="仿宋_GB2312" w:eastAsia="仿宋_GB2312" w:hAnsi="仿宋_GB2312" w:cs="仿宋_GB2312" w:hint="eastAsia"/>
                <w:color w:val="auto"/>
                <w:kern w:val="2"/>
              </w:rPr>
              <w:t>分。</w:t>
            </w:r>
            <w:r>
              <w:rPr>
                <w:rFonts w:ascii="仿宋_GB2312" w:eastAsia="仿宋_GB2312" w:hAnsi="仿宋_GB2312" w:cs="仿宋_GB2312" w:hint="eastAsia"/>
                <w:color w:val="auto"/>
                <w:kern w:val="2"/>
              </w:rPr>
              <w:t>提供通过信用中国网站（www.creditchina.gov.cn）或者中国政府采购网（www.ccgp.gov.cn）官网渠道查询的信用记录截图。</w:t>
            </w:r>
          </w:p>
          <w:p w:rsidR="00DC208D"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未提供有效证明文件的或者提供的证明文件不符合要求的或者提供的证明文件不清晰导致评审专家无法辨认的，不得分。</w:t>
            </w:r>
          </w:p>
        </w:tc>
        <w:tc>
          <w:tcPr>
            <w:tcW w:w="975" w:type="dxa"/>
            <w:tcBorders>
              <w:top w:val="single" w:sz="4" w:space="0" w:color="auto"/>
              <w:left w:val="single" w:sz="4" w:space="0" w:color="auto"/>
              <w:bottom w:val="single" w:sz="4" w:space="0" w:color="auto"/>
              <w:right w:val="single" w:sz="4" w:space="0" w:color="auto"/>
            </w:tcBorders>
            <w:shd w:val="clear" w:color="000000" w:fill="auto"/>
            <w:vAlign w:val="center"/>
          </w:tcPr>
          <w:p w:rsidR="00DC208D" w:rsidRDefault="00DC208D">
            <w:pPr>
              <w:pStyle w:val="Default"/>
              <w:ind w:firstLineChars="200" w:firstLine="480"/>
              <w:rPr>
                <w:rFonts w:ascii="仿宋_GB2312" w:eastAsia="仿宋_GB2312" w:hAnsi="仿宋_GB2312" w:cs="仿宋_GB2312"/>
                <w:color w:val="auto"/>
                <w:kern w:val="2"/>
              </w:rPr>
            </w:pPr>
          </w:p>
        </w:tc>
      </w:tr>
      <w:tr w:rsidR="00DC208D" w:rsidTr="005674FB">
        <w:trPr>
          <w:trHeight w:val="2521"/>
        </w:trPr>
        <w:tc>
          <w:tcPr>
            <w:tcW w:w="1260" w:type="dxa"/>
            <w:tcBorders>
              <w:top w:val="single" w:sz="8" w:space="0" w:color="auto"/>
              <w:left w:val="single" w:sz="8" w:space="0" w:color="auto"/>
              <w:bottom w:val="single" w:sz="8" w:space="0" w:color="auto"/>
              <w:right w:val="single" w:sz="8" w:space="0" w:color="auto"/>
            </w:tcBorders>
            <w:shd w:val="clear" w:color="000000" w:fill="auto"/>
            <w:vAlign w:val="center"/>
          </w:tcPr>
          <w:p w:rsidR="00DC208D" w:rsidRDefault="0054578C">
            <w:pPr>
              <w:widowControl/>
              <w:jc w:val="center"/>
              <w:rPr>
                <w:rFonts w:ascii="仿宋_GB2312" w:eastAsia="仿宋_GB2312" w:hAnsi="仿宋_GB2312" w:cs="仿宋_GB2312"/>
                <w:color w:val="000000"/>
                <w:kern w:val="0"/>
                <w:sz w:val="24"/>
                <w:szCs w:val="24"/>
              </w:rPr>
            </w:pPr>
            <w:r>
              <w:rPr>
                <w:rFonts w:ascii="宋体" w:hAnsi="宋体" w:hint="eastAsia"/>
                <w:bCs/>
                <w:color w:val="000000"/>
                <w:kern w:val="0"/>
                <w:sz w:val="24"/>
              </w:rPr>
              <w:t>项目硬性要求</w:t>
            </w:r>
          </w:p>
        </w:tc>
        <w:tc>
          <w:tcPr>
            <w:tcW w:w="780" w:type="dxa"/>
            <w:tcBorders>
              <w:top w:val="single" w:sz="8" w:space="0" w:color="auto"/>
              <w:left w:val="nil"/>
              <w:bottom w:val="single" w:sz="8" w:space="0" w:color="auto"/>
              <w:right w:val="single" w:sz="4" w:space="0" w:color="auto"/>
            </w:tcBorders>
            <w:shd w:val="clear" w:color="000000" w:fill="auto"/>
            <w:vAlign w:val="center"/>
          </w:tcPr>
          <w:p w:rsidR="00DC208D" w:rsidRDefault="0054578C">
            <w:pPr>
              <w:widowControl/>
              <w:jc w:val="center"/>
              <w:rPr>
                <w:rFonts w:ascii="仿宋_GB2312" w:eastAsia="仿宋_GB2312" w:hAnsi="仿宋_GB2312" w:cs="仿宋_GB2312"/>
                <w:color w:val="000000"/>
                <w:kern w:val="0"/>
                <w:sz w:val="24"/>
                <w:szCs w:val="24"/>
              </w:rPr>
            </w:pPr>
            <w:r>
              <w:rPr>
                <w:rFonts w:ascii="仿宋_GB2312" w:eastAsia="仿宋_GB2312" w:hAnsi="宋体" w:hint="eastAsia"/>
                <w:color w:val="000000"/>
                <w:kern w:val="0"/>
                <w:sz w:val="24"/>
              </w:rPr>
              <w:t>如不符合其中之一，一票否决</w:t>
            </w:r>
          </w:p>
        </w:tc>
        <w:tc>
          <w:tcPr>
            <w:tcW w:w="7185" w:type="dxa"/>
            <w:tcBorders>
              <w:top w:val="single" w:sz="4" w:space="0" w:color="auto"/>
              <w:left w:val="single" w:sz="4" w:space="0" w:color="auto"/>
              <w:bottom w:val="single" w:sz="4" w:space="0" w:color="auto"/>
              <w:right w:val="single" w:sz="4" w:space="0" w:color="auto"/>
            </w:tcBorders>
            <w:shd w:val="clear" w:color="000000" w:fill="auto"/>
            <w:vAlign w:val="center"/>
          </w:tcPr>
          <w:p w:rsidR="0054578C"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（一）系统运行安全、稳定、可靠，符合有关政策要求，为用户提供日常可持续的运营服务。</w:t>
            </w:r>
          </w:p>
          <w:p w:rsidR="0054578C"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（二）系统的任何内容（包括但不限于数据、图片、视频和源代码）归我局所有，提供市、区教育行政管理部门使用。</w:t>
            </w:r>
          </w:p>
          <w:p w:rsidR="0054578C"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（三）系统兼容民办学校现有开户银行。</w:t>
            </w:r>
          </w:p>
          <w:p w:rsidR="00DC208D" w:rsidRDefault="0054578C" w:rsidP="0054578C">
            <w:pPr>
              <w:pStyle w:val="Default"/>
              <w:ind w:firstLineChars="200" w:firstLine="480"/>
              <w:rPr>
                <w:rFonts w:ascii="仿宋_GB2312" w:eastAsia="仿宋_GB2312" w:hAnsi="仿宋_GB2312" w:cs="仿宋_GB2312"/>
                <w:color w:val="auto"/>
                <w:kern w:val="2"/>
              </w:rPr>
            </w:pPr>
            <w:r>
              <w:rPr>
                <w:rFonts w:ascii="仿宋_GB2312" w:eastAsia="仿宋_GB2312" w:hAnsi="仿宋_GB2312" w:cs="仿宋_GB2312" w:hint="eastAsia"/>
                <w:color w:val="auto"/>
                <w:kern w:val="2"/>
              </w:rPr>
              <w:t>（四）系统功能可依据我局业务变化持续迭代，但任何需求变更都应先征得我局同意方可实施。</w:t>
            </w:r>
            <w:r>
              <w:rPr>
                <w:rFonts w:ascii="仿宋_GB2312" w:eastAsia="仿宋_GB2312" w:hAnsi="仿宋_GB2312" w:cs="仿宋_GB2312" w:hint="eastAsia"/>
                <w:b/>
                <w:bCs/>
                <w:color w:val="auto"/>
                <w:kern w:val="2"/>
              </w:rPr>
              <w:t xml:space="preserve"> </w:t>
            </w:r>
          </w:p>
        </w:tc>
        <w:tc>
          <w:tcPr>
            <w:tcW w:w="975" w:type="dxa"/>
            <w:tcBorders>
              <w:top w:val="single" w:sz="4" w:space="0" w:color="auto"/>
              <w:left w:val="single" w:sz="4" w:space="0" w:color="auto"/>
              <w:bottom w:val="single" w:sz="4" w:space="0" w:color="auto"/>
              <w:right w:val="single" w:sz="4" w:space="0" w:color="auto"/>
            </w:tcBorders>
            <w:shd w:val="clear" w:color="000000" w:fill="auto"/>
            <w:vAlign w:val="center"/>
          </w:tcPr>
          <w:p w:rsidR="00DC208D" w:rsidRDefault="00DC208D">
            <w:pPr>
              <w:pStyle w:val="Default"/>
              <w:ind w:firstLineChars="200" w:firstLine="480"/>
              <w:rPr>
                <w:rFonts w:ascii="仿宋_GB2312" w:eastAsia="仿宋_GB2312" w:hAnsi="仿宋_GB2312" w:cs="仿宋_GB2312"/>
                <w:color w:val="auto"/>
                <w:kern w:val="2"/>
              </w:rPr>
            </w:pPr>
          </w:p>
        </w:tc>
      </w:tr>
      <w:tr w:rsidR="0054578C">
        <w:trPr>
          <w:trHeight w:val="667"/>
        </w:trPr>
        <w:tc>
          <w:tcPr>
            <w:tcW w:w="1260" w:type="dxa"/>
            <w:tcBorders>
              <w:top w:val="single" w:sz="8" w:space="0" w:color="auto"/>
              <w:left w:val="single" w:sz="8" w:space="0" w:color="auto"/>
              <w:bottom w:val="single" w:sz="8" w:space="0" w:color="auto"/>
              <w:right w:val="single" w:sz="8" w:space="0" w:color="auto"/>
            </w:tcBorders>
            <w:shd w:val="clear" w:color="000000" w:fill="auto"/>
            <w:vAlign w:val="center"/>
          </w:tcPr>
          <w:p w:rsidR="0054578C" w:rsidRDefault="0054578C">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总计</w:t>
            </w:r>
          </w:p>
        </w:tc>
        <w:tc>
          <w:tcPr>
            <w:tcW w:w="780" w:type="dxa"/>
            <w:tcBorders>
              <w:top w:val="single" w:sz="8" w:space="0" w:color="auto"/>
              <w:left w:val="nil"/>
              <w:bottom w:val="single" w:sz="8" w:space="0" w:color="auto"/>
              <w:right w:val="single" w:sz="4" w:space="0" w:color="auto"/>
            </w:tcBorders>
            <w:shd w:val="clear" w:color="000000" w:fill="auto"/>
            <w:vAlign w:val="center"/>
          </w:tcPr>
          <w:p w:rsidR="0054578C" w:rsidRDefault="0054578C">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100</w:t>
            </w:r>
          </w:p>
        </w:tc>
        <w:tc>
          <w:tcPr>
            <w:tcW w:w="7185" w:type="dxa"/>
            <w:tcBorders>
              <w:top w:val="single" w:sz="4" w:space="0" w:color="auto"/>
              <w:left w:val="single" w:sz="4" w:space="0" w:color="auto"/>
              <w:bottom w:val="single" w:sz="4" w:space="0" w:color="auto"/>
              <w:right w:val="single" w:sz="4" w:space="0" w:color="auto"/>
            </w:tcBorders>
            <w:shd w:val="clear" w:color="000000" w:fill="auto"/>
            <w:vAlign w:val="center"/>
          </w:tcPr>
          <w:p w:rsidR="0054578C" w:rsidRDefault="0054578C">
            <w:pPr>
              <w:pStyle w:val="Default"/>
              <w:ind w:firstLineChars="200" w:firstLine="480"/>
              <w:rPr>
                <w:rFonts w:ascii="仿宋_GB2312" w:eastAsia="仿宋_GB2312" w:hAnsi="仿宋_GB2312" w:cs="仿宋_GB2312"/>
                <w:color w:val="auto"/>
                <w:kern w:val="2"/>
              </w:rPr>
            </w:pPr>
          </w:p>
        </w:tc>
        <w:tc>
          <w:tcPr>
            <w:tcW w:w="975" w:type="dxa"/>
            <w:tcBorders>
              <w:top w:val="single" w:sz="4" w:space="0" w:color="auto"/>
              <w:left w:val="single" w:sz="4" w:space="0" w:color="auto"/>
              <w:bottom w:val="single" w:sz="4" w:space="0" w:color="auto"/>
              <w:right w:val="single" w:sz="4" w:space="0" w:color="auto"/>
            </w:tcBorders>
            <w:shd w:val="clear" w:color="000000" w:fill="auto"/>
            <w:vAlign w:val="center"/>
          </w:tcPr>
          <w:p w:rsidR="0054578C" w:rsidRDefault="0054578C">
            <w:pPr>
              <w:pStyle w:val="Default"/>
              <w:ind w:firstLineChars="200" w:firstLine="480"/>
              <w:rPr>
                <w:rFonts w:ascii="仿宋_GB2312" w:eastAsia="仿宋_GB2312" w:hAnsi="仿宋_GB2312" w:cs="仿宋_GB2312"/>
                <w:color w:val="auto"/>
                <w:kern w:val="2"/>
              </w:rPr>
            </w:pPr>
          </w:p>
        </w:tc>
      </w:tr>
    </w:tbl>
    <w:p w:rsidR="00DC208D" w:rsidRDefault="00DC208D">
      <w:pPr>
        <w:pStyle w:val="a5"/>
        <w:ind w:firstLineChars="0" w:firstLine="0"/>
        <w:rPr>
          <w:rFonts w:ascii="仿宋_GB2312" w:eastAsia="仿宋_GB2312" w:hAnsi="仿宋_GB2312" w:cs="仿宋_GB2312"/>
          <w:sz w:val="24"/>
          <w:szCs w:val="24"/>
        </w:rPr>
      </w:pPr>
    </w:p>
    <w:sectPr w:rsidR="00DC208D" w:rsidSect="00DC20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EB" w:rsidRDefault="00611EEB" w:rsidP="00DC208D">
      <w:r>
        <w:separator/>
      </w:r>
    </w:p>
  </w:endnote>
  <w:endnote w:type="continuationSeparator" w:id="0">
    <w:p w:rsidR="00611EEB" w:rsidRDefault="00611EEB" w:rsidP="00DC2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8D" w:rsidRDefault="00E06DE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filled="f" stroked="f" strokeweight=".5pt">
          <v:textbox style="mso-fit-shape-to-text:t" inset="0,0,0,0">
            <w:txbxContent>
              <w:p w:rsidR="00DC208D" w:rsidRDefault="00E06DE2">
                <w:pPr>
                  <w:pStyle w:val="a3"/>
                </w:pPr>
                <w:r>
                  <w:fldChar w:fldCharType="begin"/>
                </w:r>
                <w:r w:rsidR="00477813">
                  <w:instrText xml:space="preserve"> PAGE  \* MERGEFORMAT </w:instrText>
                </w:r>
                <w:r>
                  <w:fldChar w:fldCharType="separate"/>
                </w:r>
                <w:r w:rsidR="005674FB">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EB" w:rsidRDefault="00611EEB" w:rsidP="00DC208D">
      <w:r>
        <w:separator/>
      </w:r>
    </w:p>
  </w:footnote>
  <w:footnote w:type="continuationSeparator" w:id="0">
    <w:p w:rsidR="00611EEB" w:rsidRDefault="00611EEB" w:rsidP="00DC2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DE1BDA"/>
    <w:rsid w:val="000321C3"/>
    <w:rsid w:val="00447456"/>
    <w:rsid w:val="00453F92"/>
    <w:rsid w:val="00477813"/>
    <w:rsid w:val="00480ED4"/>
    <w:rsid w:val="0053755F"/>
    <w:rsid w:val="0054578C"/>
    <w:rsid w:val="005674FB"/>
    <w:rsid w:val="005A16CB"/>
    <w:rsid w:val="00611EEB"/>
    <w:rsid w:val="006748BE"/>
    <w:rsid w:val="007D2AB9"/>
    <w:rsid w:val="008D4F33"/>
    <w:rsid w:val="00A51879"/>
    <w:rsid w:val="00A8285B"/>
    <w:rsid w:val="00AE2B1C"/>
    <w:rsid w:val="00C74DAB"/>
    <w:rsid w:val="00DC208D"/>
    <w:rsid w:val="00E06DE2"/>
    <w:rsid w:val="00F31C27"/>
    <w:rsid w:val="00F655F7"/>
    <w:rsid w:val="05996340"/>
    <w:rsid w:val="061B3062"/>
    <w:rsid w:val="24D308DA"/>
    <w:rsid w:val="3CFB0B2B"/>
    <w:rsid w:val="3D562A8D"/>
    <w:rsid w:val="3EDE1BDA"/>
    <w:rsid w:val="43A819D7"/>
    <w:rsid w:val="460F0A3F"/>
    <w:rsid w:val="4A8C013B"/>
    <w:rsid w:val="70B30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0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208D"/>
    <w:pPr>
      <w:tabs>
        <w:tab w:val="center" w:pos="4153"/>
        <w:tab w:val="right" w:pos="8306"/>
      </w:tabs>
      <w:snapToGrid w:val="0"/>
      <w:jc w:val="left"/>
    </w:pPr>
    <w:rPr>
      <w:sz w:val="18"/>
    </w:rPr>
  </w:style>
  <w:style w:type="paragraph" w:styleId="a4">
    <w:name w:val="header"/>
    <w:basedOn w:val="a"/>
    <w:rsid w:val="00DC20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DC208D"/>
    <w:pPr>
      <w:ind w:firstLineChars="200" w:firstLine="420"/>
    </w:pPr>
  </w:style>
  <w:style w:type="paragraph" w:customStyle="1" w:styleId="Default">
    <w:name w:val="Default"/>
    <w:qFormat/>
    <w:rsid w:val="00DC208D"/>
    <w:pPr>
      <w:widowControl w:val="0"/>
      <w:autoSpaceDE w:val="0"/>
      <w:autoSpaceDN w:val="0"/>
      <w:adjustRightInd w:val="0"/>
    </w:pPr>
    <w:rPr>
      <w:rFonts w:ascii="Arial Narrow" w:eastAsia="宋体"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黄玉峰</dc:creator>
  <cp:lastModifiedBy>李雅萍</cp:lastModifiedBy>
  <cp:revision>6</cp:revision>
  <cp:lastPrinted>2021-09-09T02:05:00Z</cp:lastPrinted>
  <dcterms:created xsi:type="dcterms:W3CDTF">2021-09-09T01:15:00Z</dcterms:created>
  <dcterms:modified xsi:type="dcterms:W3CDTF">2021-09-09T02:35:00Z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E2ED25FA07A4400EAF10FA7C28AD4B0A</vt:lpwstr>
  </property>
</Properties>
</file>