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eastAsia="zh-CN"/>
        </w:rPr>
        <w:t>附件</w:t>
      </w:r>
      <w:r>
        <w:rPr>
          <w:rFonts w:hint="eastAsia" w:ascii="黑体" w:hAnsi="黑体" w:eastAsia="黑体" w:cs="黑体"/>
          <w:color w:val="000000" w:themeColor="text1"/>
          <w:sz w:val="32"/>
          <w:szCs w:val="32"/>
          <w:lang w:val="en-US" w:eastAsia="zh-CN"/>
        </w:rPr>
        <w:t>1</w:t>
      </w:r>
    </w:p>
    <w:p>
      <w:pPr>
        <w:spacing w:line="580" w:lineRule="exact"/>
        <w:jc w:val="center"/>
        <w:rPr>
          <w:rFonts w:hint="eastAsia" w:ascii="方正小标宋简体" w:eastAsia="方正小标宋简体"/>
          <w:color w:val="000000" w:themeColor="text1"/>
          <w:sz w:val="44"/>
          <w:szCs w:val="44"/>
        </w:rPr>
      </w:pPr>
    </w:p>
    <w:p>
      <w:pPr>
        <w:spacing w:line="580" w:lineRule="exact"/>
        <w:jc w:val="center"/>
        <w:rPr>
          <w:rFonts w:ascii="方正小标宋简体" w:eastAsia="方正小标宋简体"/>
          <w:color w:val="000000" w:themeColor="text1"/>
          <w:sz w:val="44"/>
          <w:szCs w:val="44"/>
        </w:rPr>
      </w:pPr>
      <w:bookmarkStart w:id="4" w:name="_GoBack"/>
      <w:r>
        <w:rPr>
          <w:rFonts w:hint="eastAsia" w:ascii="方正小标宋简体" w:eastAsia="方正小标宋简体"/>
          <w:color w:val="000000" w:themeColor="text1"/>
          <w:sz w:val="44"/>
          <w:szCs w:val="44"/>
        </w:rPr>
        <w:t>深圳市普通高中体育与健康学业水平考试</w:t>
      </w:r>
    </w:p>
    <w:p>
      <w:pPr>
        <w:spacing w:line="58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实施方案</w:t>
      </w:r>
      <w:bookmarkEnd w:id="4"/>
    </w:p>
    <w:p>
      <w:pPr>
        <w:adjustRightInd w:val="0"/>
        <w:snapToGrid w:val="0"/>
        <w:spacing w:line="580" w:lineRule="exact"/>
        <w:ind w:firstLine="640" w:firstLineChars="200"/>
        <w:rPr>
          <w:rFonts w:ascii="仿宋_GB2312" w:hAnsi="宋体" w:eastAsia="仿宋_GB2312"/>
          <w:color w:val="000000" w:themeColor="text1"/>
          <w:kern w:val="0"/>
          <w:sz w:val="32"/>
          <w:szCs w:val="32"/>
        </w:rPr>
      </w:pPr>
    </w:p>
    <w:p>
      <w:pPr>
        <w:adjustRightInd w:val="0"/>
        <w:snapToGrid w:val="0"/>
        <w:spacing w:line="580" w:lineRule="exact"/>
        <w:ind w:firstLine="640" w:firstLineChars="20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为贯彻落实</w:t>
      </w:r>
      <w:r>
        <w:rPr>
          <w:rFonts w:hint="eastAsia" w:ascii="仿宋_GB2312" w:hAnsi="宋体" w:eastAsia="仿宋_GB2312"/>
          <w:color w:val="000000" w:themeColor="text1"/>
          <w:sz w:val="32"/>
          <w:szCs w:val="32"/>
        </w:rPr>
        <w:t>《广东省教育厅关于印发广东省普通高中学业水平考试实施办法的通知》（粤教考〔2019〕18号）</w:t>
      </w:r>
      <w:r>
        <w:rPr>
          <w:rFonts w:hint="eastAsia" w:ascii="仿宋_GB2312" w:hAnsi="仿宋_GB2312" w:eastAsia="仿宋_GB2312" w:cs="仿宋_GB2312"/>
          <w:color w:val="000000" w:themeColor="text1"/>
          <w:sz w:val="32"/>
          <w:szCs w:val="32"/>
        </w:rPr>
        <w:t>、《广东省教育厅关于普通高中体育与健康等科目学业水平考试工作的指导意见》（粤教考〔2019〕19号）</w:t>
      </w:r>
      <w:r>
        <w:rPr>
          <w:rFonts w:hint="eastAsia" w:ascii="仿宋_GB2312" w:hAnsi="宋体" w:eastAsia="仿宋_GB2312"/>
          <w:color w:val="000000" w:themeColor="text1"/>
          <w:sz w:val="32"/>
          <w:szCs w:val="32"/>
        </w:rPr>
        <w:t>精神，依据《普通</w:t>
      </w:r>
      <w:r>
        <w:rPr>
          <w:rFonts w:hint="eastAsia" w:ascii="仿宋_GB2312" w:hAnsi="宋体" w:eastAsia="仿宋_GB2312"/>
          <w:color w:val="000000" w:themeColor="text1"/>
          <w:kern w:val="0"/>
          <w:sz w:val="32"/>
          <w:szCs w:val="32"/>
        </w:rPr>
        <w:t>高中体育与健康课程标准（2017年版</w:t>
      </w:r>
      <w:r>
        <w:rPr>
          <w:rFonts w:hint="eastAsia" w:ascii="仿宋_GB2312" w:hAnsi="微软雅黑" w:eastAsia="仿宋_GB2312" w:cs="仿宋_GB2312"/>
          <w:color w:val="000000" w:themeColor="text1"/>
          <w:sz w:val="32"/>
          <w:szCs w:val="32"/>
          <w:shd w:val="clear" w:color="auto" w:fill="FFFFFF"/>
        </w:rPr>
        <w:t>2020年修订</w:t>
      </w:r>
      <w:r>
        <w:rPr>
          <w:rFonts w:hint="eastAsia" w:ascii="仿宋_GB2312" w:hAnsi="宋体" w:eastAsia="仿宋_GB2312"/>
          <w:color w:val="000000" w:themeColor="text1"/>
          <w:kern w:val="0"/>
          <w:sz w:val="32"/>
          <w:szCs w:val="32"/>
        </w:rPr>
        <w:t>）》和《国家学生体质健康标准</w:t>
      </w:r>
      <w:r>
        <w:rPr>
          <w:rFonts w:hint="eastAsia" w:ascii="仿宋_GB2312" w:hAnsi="仿宋_GB2312" w:eastAsia="仿宋_GB2312" w:cs="仿宋_GB2312"/>
          <w:color w:val="000000" w:themeColor="text1"/>
          <w:sz w:val="32"/>
          <w:szCs w:val="32"/>
        </w:rPr>
        <w:t>》，结合我市实际，制定本实施方案。</w:t>
      </w:r>
    </w:p>
    <w:p>
      <w:pPr>
        <w:adjustRightInd w:val="0"/>
        <w:snapToGrid w:val="0"/>
        <w:spacing w:line="58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一、指导思想</w:t>
      </w:r>
    </w:p>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全面贯彻党的教育方针和《中共中央、国务院关于支持深圳建设中国特色社会主义先行示范区的意见》精神，认真落实“健康第一”的理念和立德树人的根本任务，把提升学生身体素质和健康水平作为学校教育的基本目标，开足开齐体育与健康课程，强化课外锻炼。通过考试的杠杆和导向作用，让学生通过体育与健康课程的学习和丰富多彩的课外体育活动，掌握2项以上运动技能，养成终身受益的体育锻炼习惯。</w:t>
      </w:r>
    </w:p>
    <w:p>
      <w:pPr>
        <w:adjustRightInd w:val="0"/>
        <w:snapToGrid w:val="0"/>
        <w:spacing w:line="58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二、基本原则</w:t>
      </w:r>
    </w:p>
    <w:p>
      <w:pPr>
        <w:adjustRightInd w:val="0"/>
        <w:snapToGrid w:val="0"/>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（一）导向性原则</w:t>
      </w:r>
    </w:p>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实施普通高中体育与健康学业水平考试，目的是引导学生上好每一节体育与健康课，鼓励学生积极参加课外体育锻炼，促进学生养成终生受益的体育锻炼习惯;引导学校体育教学改革，坚持课堂教学与课外活动相衔接、兴趣培养与技能提高相促进。</w:t>
      </w:r>
    </w:p>
    <w:p>
      <w:pPr>
        <w:adjustRightInd w:val="0"/>
        <w:snapToGrid w:val="0"/>
        <w:spacing w:line="580" w:lineRule="exact"/>
        <w:ind w:firstLine="643" w:firstLineChars="20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（二）主体性原则</w:t>
      </w:r>
    </w:p>
    <w:p>
      <w:pPr>
        <w:adjustRightInd w:val="0"/>
        <w:snapToGrid w:val="0"/>
        <w:spacing w:line="580" w:lineRule="exact"/>
        <w:ind w:firstLine="640" w:firstLineChars="20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坚持以学生发展为中心，尊重学生个性化发展的需求，提升学生的体育与健康核心素养。</w:t>
      </w:r>
    </w:p>
    <w:p>
      <w:pPr>
        <w:adjustRightInd w:val="0"/>
        <w:snapToGrid w:val="0"/>
        <w:spacing w:line="580" w:lineRule="exact"/>
        <w:ind w:firstLine="643" w:firstLineChars="20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（三）渐进性原则</w:t>
      </w:r>
    </w:p>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实施普通高中体育与健康学业水平考试，是加强和改进学校体育教学的一次新的尝试。各区教育行政部门、各学校应积极配合，大胆尝试，在不断总结经验的基础上，逐步完善普通高中体育与健康学业水平考试制度。</w:t>
      </w:r>
    </w:p>
    <w:p>
      <w:pPr>
        <w:adjustRightInd w:val="0"/>
        <w:snapToGrid w:val="0"/>
        <w:spacing w:line="580" w:lineRule="exact"/>
        <w:ind w:firstLine="643" w:firstLineChars="20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（四）公平公正原则</w:t>
      </w:r>
    </w:p>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坚持考试的客观性，公平、公正、公开是普通高中体育与健康科目学业水平考试的基本要求。考试要做到程序规范，标准统一，结果公正。</w:t>
      </w:r>
    </w:p>
    <w:p>
      <w:pPr>
        <w:adjustRightInd w:val="0"/>
        <w:snapToGrid w:val="0"/>
        <w:spacing w:line="58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三、考试内容和方式</w:t>
      </w:r>
    </w:p>
    <w:p>
      <w:pPr>
        <w:adjustRightInd w:val="0"/>
        <w:snapToGrid w:val="0"/>
        <w:spacing w:line="580" w:lineRule="exact"/>
        <w:ind w:firstLine="640" w:firstLineChars="20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考试内容范围为</w:t>
      </w:r>
      <w:r>
        <w:rPr>
          <w:rFonts w:hint="eastAsia" w:eastAsia="仿宋_GB2312"/>
          <w:color w:val="000000" w:themeColor="text1"/>
          <w:kern w:val="15"/>
          <w:sz w:val="32"/>
          <w:szCs w:val="32"/>
        </w:rPr>
        <w:t>《普通高中体育与健康课程标准（</w:t>
      </w:r>
      <w:r>
        <w:rPr>
          <w:rFonts w:eastAsia="仿宋_GB2312"/>
          <w:color w:val="000000" w:themeColor="text1"/>
          <w:kern w:val="15"/>
          <w:sz w:val="32"/>
          <w:szCs w:val="32"/>
        </w:rPr>
        <w:t>2017</w:t>
      </w:r>
      <w:r>
        <w:rPr>
          <w:rFonts w:hint="eastAsia" w:eastAsia="仿宋_GB2312"/>
          <w:color w:val="000000" w:themeColor="text1"/>
          <w:kern w:val="15"/>
          <w:sz w:val="32"/>
          <w:szCs w:val="32"/>
        </w:rPr>
        <w:t>年</w:t>
      </w:r>
      <w:r>
        <w:rPr>
          <w:rFonts w:hint="eastAsia" w:ascii="仿宋_GB2312" w:hAnsi="仿宋_GB2312" w:eastAsia="仿宋_GB2312" w:cs="仿宋_GB2312"/>
          <w:color w:val="000000" w:themeColor="text1"/>
          <w:kern w:val="15"/>
          <w:sz w:val="32"/>
          <w:szCs w:val="32"/>
        </w:rPr>
        <w:t>版2020年修订</w:t>
      </w:r>
      <w:r>
        <w:rPr>
          <w:rFonts w:hint="eastAsia" w:eastAsia="仿宋_GB2312"/>
          <w:color w:val="000000" w:themeColor="text1"/>
          <w:kern w:val="15"/>
          <w:sz w:val="32"/>
          <w:szCs w:val="32"/>
        </w:rPr>
        <w:t>）》</w:t>
      </w:r>
      <w:r>
        <w:rPr>
          <w:rFonts w:hint="eastAsia" w:ascii="仿宋_GB2312" w:hAnsi="宋体" w:eastAsia="仿宋_GB2312"/>
          <w:color w:val="000000" w:themeColor="text1"/>
          <w:kern w:val="0"/>
          <w:sz w:val="32"/>
          <w:szCs w:val="32"/>
        </w:rPr>
        <w:t>的必修必学、必修选学系列和《国家学生体质健康标准》的内容。采用“运动参与+体质健康测试+运动技能测试”的方式进行，其中运动参与和体质健康测试是过程性评价，运动技能测试是终结性专项运动技能测试评价。</w:t>
      </w:r>
    </w:p>
    <w:p>
      <w:pPr>
        <w:adjustRightInd w:val="0"/>
        <w:snapToGrid w:val="0"/>
        <w:spacing w:line="580" w:lineRule="exact"/>
        <w:ind w:firstLine="643" w:firstLineChars="20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（一）过程性评价</w:t>
      </w:r>
    </w:p>
    <w:p>
      <w:pPr>
        <w:adjustRightInd w:val="0"/>
        <w:snapToGrid w:val="0"/>
        <w:spacing w:line="580" w:lineRule="exact"/>
        <w:ind w:firstLine="640" w:firstLineChars="200"/>
        <w:rPr>
          <w:rFonts w:ascii="仿宋_GB2312" w:hAnsi="宋体" w:eastAsia="仿宋_GB2312"/>
          <w:b w:val="0"/>
          <w:bCs w:val="0"/>
          <w:color w:val="000000" w:themeColor="text1"/>
          <w:kern w:val="0"/>
          <w:sz w:val="32"/>
          <w:szCs w:val="32"/>
        </w:rPr>
      </w:pPr>
      <w:r>
        <w:rPr>
          <w:rFonts w:hint="eastAsia" w:ascii="仿宋_GB2312" w:hAnsi="宋体" w:eastAsia="仿宋_GB2312"/>
          <w:b w:val="0"/>
          <w:bCs w:val="0"/>
          <w:color w:val="000000" w:themeColor="text1"/>
          <w:kern w:val="0"/>
          <w:sz w:val="32"/>
          <w:szCs w:val="32"/>
        </w:rPr>
        <w:t>1.运动参与</w:t>
      </w:r>
    </w:p>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（1）评价内容</w:t>
      </w:r>
    </w:p>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对学生体育与健康课堂学习、大课间体育活动、课外体育活动、课余体育训练和学校体育竞赛参与及表现情况等进行评定或考核打分。评价标准（见下表）：</w:t>
      </w:r>
    </w:p>
    <w:tbl>
      <w:tblPr>
        <w:tblStyle w:val="9"/>
        <w:tblW w:w="8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134"/>
        <w:gridCol w:w="5528"/>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类别</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项目</w:t>
            </w:r>
          </w:p>
        </w:tc>
        <w:tc>
          <w:tcPr>
            <w:tcW w:w="5528"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明细与要求</w:t>
            </w:r>
          </w:p>
        </w:tc>
        <w:tc>
          <w:tcPr>
            <w:tcW w:w="1037"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出勤率及表现情况</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课堂学习</w:t>
            </w:r>
          </w:p>
        </w:tc>
        <w:tc>
          <w:tcPr>
            <w:tcW w:w="5528" w:type="dxa"/>
            <w:tcBorders>
              <w:top w:val="single" w:color="000000" w:sz="4" w:space="0"/>
              <w:left w:val="single" w:color="000000" w:sz="4" w:space="0"/>
              <w:bottom w:val="single" w:color="000000" w:sz="4" w:space="0"/>
              <w:right w:val="single" w:color="000000" w:sz="4" w:space="0"/>
            </w:tcBorders>
            <w:vAlign w:val="center"/>
          </w:tcPr>
          <w:p>
            <w:pPr>
              <w:spacing w:line="580" w:lineRule="exact"/>
              <w:rPr>
                <w:rFonts w:ascii="仿宋_GB2312" w:hAnsi="宋体" w:eastAsia="仿宋_GB2312"/>
                <w:color w:val="000000" w:themeColor="text1"/>
              </w:rPr>
            </w:pPr>
            <w:r>
              <w:rPr>
                <w:rFonts w:hint="eastAsia" w:ascii="仿宋_GB2312" w:hAnsi="宋体" w:eastAsia="仿宋_GB2312"/>
                <w:color w:val="000000" w:themeColor="text1"/>
              </w:rPr>
              <w:t>每周2节以上，每节课45分钟，除正常请假外，每学期出勤率达90%以上为合格；</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pPr>
              <w:spacing w:line="580" w:lineRule="exact"/>
              <w:rPr>
                <w:rFonts w:ascii="仿宋_GB2312" w:hAnsi="宋体" w:eastAsia="仿宋_GB2312"/>
                <w:color w:val="000000" w:themeColor="text1"/>
                <w:sz w:val="18"/>
                <w:szCs w:val="18"/>
              </w:rPr>
            </w:pPr>
            <w:r>
              <w:rPr>
                <w:rFonts w:hint="eastAsia" w:ascii="仿宋" w:hAnsi="仿宋" w:eastAsia="仿宋"/>
                <w:color w:val="000000" w:themeColor="text1"/>
                <w:sz w:val="18"/>
                <w:szCs w:val="18"/>
              </w:rPr>
              <w:t>因不可抗拒因素导致不能参加学习或锻炼的，需提供相关佐证材料</w:t>
            </w:r>
            <w:r>
              <w:rPr>
                <w:rFonts w:hint="eastAsia" w:ascii="仿宋_GB2312" w:hAnsi="宋体" w:eastAsia="仿宋_GB2312"/>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宋体" w:eastAsia="仿宋_GB2312"/>
                <w:color w:val="000000" w:themeColor="text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大课间体育活动</w:t>
            </w:r>
          </w:p>
        </w:tc>
        <w:tc>
          <w:tcPr>
            <w:tcW w:w="5528" w:type="dxa"/>
            <w:tcBorders>
              <w:top w:val="single" w:color="000000" w:sz="4" w:space="0"/>
              <w:left w:val="single" w:color="000000" w:sz="4" w:space="0"/>
              <w:bottom w:val="single" w:color="000000" w:sz="4" w:space="0"/>
              <w:right w:val="single" w:color="000000" w:sz="4" w:space="0"/>
            </w:tcBorders>
            <w:vAlign w:val="center"/>
          </w:tcPr>
          <w:p>
            <w:pPr>
              <w:spacing w:line="580" w:lineRule="exact"/>
              <w:rPr>
                <w:rFonts w:ascii="仿宋_GB2312" w:hAnsi="宋体" w:eastAsia="仿宋_GB2312"/>
                <w:color w:val="000000" w:themeColor="text1"/>
              </w:rPr>
            </w:pPr>
            <w:r>
              <w:rPr>
                <w:rFonts w:hint="eastAsia" w:ascii="仿宋_GB2312" w:hAnsi="宋体" w:eastAsia="仿宋_GB2312"/>
                <w:color w:val="000000" w:themeColor="text1"/>
              </w:rPr>
              <w:t>每天1次，每次不少于30分钟（不含课间时间），除正常请假外，每学期出勤率达90%以上为合格；</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宋体" w:eastAsia="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宋体" w:eastAsia="仿宋_GB2312"/>
                <w:color w:val="000000" w:themeColor="text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课外体育活动</w:t>
            </w:r>
          </w:p>
        </w:tc>
        <w:tc>
          <w:tcPr>
            <w:tcW w:w="5528" w:type="dxa"/>
            <w:tcBorders>
              <w:top w:val="single" w:color="000000" w:sz="4" w:space="0"/>
              <w:left w:val="single" w:color="000000" w:sz="4" w:space="0"/>
              <w:bottom w:val="single" w:color="000000" w:sz="4" w:space="0"/>
              <w:right w:val="single" w:color="000000" w:sz="4" w:space="0"/>
            </w:tcBorders>
            <w:vAlign w:val="center"/>
          </w:tcPr>
          <w:p>
            <w:pPr>
              <w:spacing w:line="580" w:lineRule="exact"/>
              <w:rPr>
                <w:rFonts w:ascii="仿宋_GB2312" w:hAnsi="宋体" w:eastAsia="仿宋_GB2312"/>
                <w:color w:val="000000" w:themeColor="text1"/>
              </w:rPr>
            </w:pPr>
            <w:r>
              <w:rPr>
                <w:rFonts w:hint="eastAsia" w:ascii="仿宋_GB2312" w:hAnsi="宋体" w:eastAsia="仿宋_GB2312"/>
                <w:color w:val="000000" w:themeColor="text1"/>
              </w:rPr>
              <w:t>每周3次以上，每次不少于30分钟，除正常请假外，每学期出勤率达90%以上为合格；</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宋体" w:eastAsia="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宋体" w:eastAsia="仿宋_GB2312"/>
                <w:color w:val="000000" w:themeColor="text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健康行为</w:t>
            </w:r>
          </w:p>
        </w:tc>
        <w:tc>
          <w:tcPr>
            <w:tcW w:w="5528" w:type="dxa"/>
            <w:tcBorders>
              <w:top w:val="single" w:color="000000" w:sz="4" w:space="0"/>
              <w:left w:val="single" w:color="auto" w:sz="4" w:space="0"/>
              <w:bottom w:val="single" w:color="000000" w:sz="4" w:space="0"/>
              <w:right w:val="single" w:color="000000" w:sz="4" w:space="0"/>
            </w:tcBorders>
            <w:vAlign w:val="center"/>
          </w:tcPr>
          <w:p>
            <w:pPr>
              <w:spacing w:line="580" w:lineRule="exact"/>
              <w:rPr>
                <w:rFonts w:ascii="仿宋_GB2312" w:hAnsi="宋体" w:eastAsia="仿宋_GB2312"/>
                <w:color w:val="000000" w:themeColor="text1"/>
              </w:rPr>
            </w:pPr>
            <w:r>
              <w:rPr>
                <w:rFonts w:hint="eastAsia" w:ascii="仿宋_GB2312" w:hAnsi="宋体" w:eastAsia="仿宋_GB2312"/>
                <w:color w:val="000000" w:themeColor="text1"/>
              </w:rPr>
              <w:t>自觉坚持有规律的体育锻炼，日常表现积极向上、乐观开朗、热爱生活、珍惜生命、身心健康、体魄强健。</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宋体" w:eastAsia="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宋体" w:eastAsia="仿宋_GB2312"/>
                <w:color w:val="000000" w:themeColor="text1"/>
              </w:rPr>
            </w:pPr>
          </w:p>
        </w:tc>
        <w:tc>
          <w:tcPr>
            <w:tcW w:w="1134" w:type="dxa"/>
            <w:tcBorders>
              <w:top w:val="single" w:color="000000" w:sz="4" w:space="0"/>
              <w:left w:val="single" w:color="000000" w:sz="4" w:space="0"/>
              <w:bottom w:val="single" w:color="000000" w:sz="4" w:space="0"/>
              <w:right w:val="single" w:color="auto" w:sz="4" w:space="0"/>
            </w:tcBorders>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体育品德</w:t>
            </w:r>
          </w:p>
        </w:tc>
        <w:tc>
          <w:tcPr>
            <w:tcW w:w="5528" w:type="dxa"/>
            <w:tcBorders>
              <w:top w:val="single" w:color="000000" w:sz="4" w:space="0"/>
              <w:left w:val="single" w:color="auto" w:sz="4" w:space="0"/>
              <w:bottom w:val="single" w:color="000000" w:sz="4" w:space="0"/>
              <w:right w:val="single" w:color="000000" w:sz="4" w:space="0"/>
            </w:tcBorders>
            <w:vAlign w:val="center"/>
          </w:tcPr>
          <w:p>
            <w:pPr>
              <w:spacing w:line="580" w:lineRule="exact"/>
              <w:rPr>
                <w:rFonts w:ascii="仿宋_GB2312" w:hAnsi="宋体" w:eastAsia="仿宋_GB2312"/>
                <w:color w:val="000000" w:themeColor="text1"/>
              </w:rPr>
            </w:pPr>
            <w:r>
              <w:rPr>
                <w:rFonts w:hint="eastAsia" w:ascii="仿宋_GB2312" w:hAnsi="宋体" w:eastAsia="仿宋_GB2312"/>
                <w:color w:val="000000" w:themeColor="text1"/>
              </w:rPr>
              <w:t>在体育运动中自律自制，遵规守纪，团队合作，具有运动拼搏精神。</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宋体" w:eastAsia="仿宋_GB2312"/>
                <w:color w:val="000000" w:themeColor="text1"/>
                <w:sz w:val="18"/>
                <w:szCs w:val="18"/>
              </w:rPr>
            </w:pPr>
          </w:p>
        </w:tc>
      </w:tr>
    </w:tbl>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（2）评价方式</w:t>
      </w:r>
    </w:p>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由学校统筹，班主任和体育科任老师</w:t>
      </w:r>
      <w:r>
        <w:rPr>
          <w:rFonts w:hint="eastAsia" w:ascii="仿宋_GB2312" w:hAnsi="宋体" w:eastAsia="仿宋_GB2312" w:cs="仿宋_GB2312"/>
          <w:color w:val="000000" w:themeColor="text1"/>
          <w:sz w:val="32"/>
          <w:szCs w:val="32"/>
        </w:rPr>
        <w:t>根据平时在教学中观察学生的有关表现结合考试进行评价</w:t>
      </w:r>
      <w:r>
        <w:rPr>
          <w:rFonts w:hint="eastAsia" w:ascii="仿宋_GB2312" w:hAnsi="宋体" w:eastAsia="仿宋_GB2312"/>
          <w:color w:val="000000" w:themeColor="text1"/>
          <w:sz w:val="32"/>
          <w:szCs w:val="32"/>
        </w:rPr>
        <w:t>。</w:t>
      </w:r>
    </w:p>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（3）公告公示</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每学期末将学生运动参与情况评价表张贴在班级公告栏进行公示五个工作日，公示无异议后由体育科任老师和班主任签名确认后上传评价系统。原始公示表保存四年。</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rPr>
        <w:t>2.体质健康测试</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shd w:val="clear" w:color="auto" w:fill="auto"/>
        </w:rPr>
      </w:pPr>
      <w:r>
        <w:rPr>
          <w:rFonts w:hint="eastAsia" w:ascii="仿宋_GB2312" w:hAnsi="仿宋_GB2312" w:eastAsia="仿宋_GB2312" w:cs="仿宋_GB2312"/>
          <w:color w:val="000000" w:themeColor="text1"/>
          <w:sz w:val="32"/>
          <w:szCs w:val="32"/>
        </w:rPr>
        <w:t>（1）测试内容</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shd w:val="clear" w:color="auto" w:fill="auto"/>
        </w:rPr>
      </w:pPr>
      <w:r>
        <w:rPr>
          <w:rFonts w:hint="eastAsia" w:ascii="仿宋_GB2312" w:hAnsi="仿宋_GB2312" w:eastAsia="仿宋_GB2312" w:cs="仿宋_GB2312"/>
          <w:color w:val="000000" w:themeColor="text1"/>
          <w:sz w:val="32"/>
          <w:szCs w:val="32"/>
        </w:rPr>
        <w:t>根据《国家学生体质健康标准》要求，全面测试学生</w:t>
      </w:r>
      <w:r>
        <w:rPr>
          <w:rFonts w:hint="eastAsia" w:ascii="仿宋_GB2312" w:hAnsi="仿宋_GB2312" w:eastAsia="仿宋_GB2312" w:cs="仿宋_GB2312"/>
          <w:color w:val="000000" w:themeColor="text1"/>
          <w:sz w:val="32"/>
          <w:szCs w:val="32"/>
          <w:shd w:val="clear" w:color="auto" w:fill="auto"/>
        </w:rPr>
        <w:t>身体形态、身体机能和身体素质。</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shd w:val="clear" w:color="auto" w:fill="auto"/>
        </w:rPr>
      </w:pPr>
      <w:r>
        <w:rPr>
          <w:rFonts w:hint="eastAsia" w:ascii="仿宋_GB2312" w:hAnsi="仿宋_GB2312" w:eastAsia="仿宋_GB2312" w:cs="仿宋_GB2312"/>
          <w:color w:val="000000" w:themeColor="text1"/>
          <w:sz w:val="32"/>
          <w:szCs w:val="32"/>
          <w:shd w:val="clear" w:color="auto" w:fill="auto"/>
        </w:rPr>
        <w:t>（2）测试方式</w:t>
      </w:r>
    </w:p>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仿宋_GB2312" w:eastAsia="仿宋_GB2312" w:cs="仿宋_GB2312"/>
          <w:color w:val="000000" w:themeColor="text1"/>
          <w:sz w:val="32"/>
          <w:szCs w:val="32"/>
        </w:rPr>
        <w:t>测试采用规范的测试设备和</w:t>
      </w:r>
      <w:r>
        <w:rPr>
          <w:rFonts w:hint="eastAsia" w:ascii="仿宋_GB2312" w:hAnsi="宋体" w:eastAsia="仿宋_GB2312"/>
          <w:color w:val="000000" w:themeColor="text1"/>
          <w:sz w:val="32"/>
          <w:szCs w:val="32"/>
        </w:rPr>
        <w:t>测试方法，采用</w:t>
      </w:r>
      <w:r>
        <w:rPr>
          <w:rFonts w:hint="eastAsia" w:eastAsia="仿宋_GB2312"/>
          <w:color w:val="000000" w:themeColor="text1"/>
          <w:kern w:val="15"/>
          <w:sz w:val="32"/>
          <w:szCs w:val="32"/>
        </w:rPr>
        <w:t>集中测试、集中体检或体质达标运动会</w:t>
      </w:r>
      <w:r>
        <w:rPr>
          <w:rFonts w:hint="eastAsia" w:ascii="仿宋_GB2312" w:hAnsi="宋体" w:eastAsia="仿宋_GB2312"/>
          <w:color w:val="000000" w:themeColor="text1"/>
          <w:sz w:val="32"/>
          <w:szCs w:val="32"/>
        </w:rPr>
        <w:t>等方式进行测试，</w:t>
      </w:r>
      <w:r>
        <w:rPr>
          <w:rFonts w:hint="eastAsia" w:ascii="仿宋_GB2312" w:hAnsi="宋体" w:eastAsia="仿宋_GB2312" w:cs="仿宋_GB2312"/>
          <w:color w:val="000000" w:themeColor="text1"/>
          <w:sz w:val="32"/>
          <w:szCs w:val="32"/>
          <w:lang w:val="zh-CN"/>
        </w:rPr>
        <w:t>其中身体素质测试的项目</w:t>
      </w:r>
      <w:r>
        <w:rPr>
          <w:rFonts w:hint="eastAsia" w:ascii="仿宋_GB2312" w:hAnsi="宋体" w:eastAsia="仿宋_GB2312" w:cs="仿宋_GB2312"/>
          <w:color w:val="000000" w:themeColor="text1"/>
          <w:sz w:val="32"/>
          <w:szCs w:val="32"/>
        </w:rPr>
        <w:t>为</w:t>
      </w:r>
      <w:r>
        <w:rPr>
          <w:rFonts w:hint="eastAsia" w:ascii="仿宋_GB2312" w:hAnsi="宋体" w:eastAsia="仿宋_GB2312" w:cs="仿宋_GB2312"/>
          <w:color w:val="000000" w:themeColor="text1"/>
          <w:sz w:val="32"/>
          <w:szCs w:val="32"/>
          <w:lang w:val="zh-CN"/>
        </w:rPr>
        <w:t>50米、</w:t>
      </w:r>
      <w:r>
        <w:rPr>
          <w:rFonts w:hint="eastAsia" w:ascii="仿宋_GB2312" w:hAnsi="宋体" w:eastAsia="仿宋_GB2312" w:cs="仿宋_GB2312"/>
          <w:color w:val="000000" w:themeColor="text1"/>
          <w:sz w:val="32"/>
          <w:szCs w:val="32"/>
        </w:rPr>
        <w:t>立定跳远、</w:t>
      </w:r>
      <w:r>
        <w:rPr>
          <w:rFonts w:hint="eastAsia" w:ascii="仿宋_GB2312" w:hAnsi="宋体" w:eastAsia="仿宋_GB2312" w:cs="仿宋_GB2312"/>
          <w:color w:val="000000" w:themeColor="text1"/>
          <w:sz w:val="32"/>
          <w:szCs w:val="32"/>
          <w:lang w:val="zh-CN"/>
        </w:rPr>
        <w:t>坐位体前屈、仰卧起坐（女）/引体向上（男）、800米（女）/1000米（男）。</w:t>
      </w:r>
    </w:p>
    <w:p>
      <w:pPr>
        <w:adjustRightInd w:val="0"/>
        <w:snapToGrid w:val="0"/>
        <w:spacing w:line="580" w:lineRule="exact"/>
        <w:ind w:firstLine="643" w:firstLineChars="20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（二）终结性专项运动技能测试</w:t>
      </w:r>
    </w:p>
    <w:p>
      <w:pPr>
        <w:adjustRightInd w:val="0"/>
        <w:snapToGrid w:val="0"/>
        <w:spacing w:line="580" w:lineRule="exact"/>
        <w:ind w:firstLine="640" w:firstLineChars="200"/>
        <w:rPr>
          <w:rFonts w:ascii="仿宋_GB2312" w:hAnsi="宋体" w:eastAsia="仿宋_GB2312" w:cs="仿宋_GB2312"/>
          <w:b w:val="0"/>
          <w:bCs w:val="0"/>
          <w:color w:val="000000" w:themeColor="text1"/>
          <w:sz w:val="32"/>
          <w:szCs w:val="32"/>
          <w:lang w:val="zh-CN"/>
        </w:rPr>
      </w:pPr>
      <w:r>
        <w:rPr>
          <w:rFonts w:hint="eastAsia" w:ascii="仿宋_GB2312" w:hAnsi="宋体" w:eastAsia="仿宋_GB2312" w:cs="仿宋_GB2312"/>
          <w:b w:val="0"/>
          <w:bCs w:val="0"/>
          <w:color w:val="000000" w:themeColor="text1"/>
          <w:sz w:val="32"/>
          <w:szCs w:val="32"/>
          <w:lang w:val="zh-CN"/>
        </w:rPr>
        <w:t>1.测试内容</w:t>
      </w:r>
    </w:p>
    <w:p>
      <w:pPr>
        <w:adjustRightInd w:val="0"/>
        <w:snapToGrid w:val="0"/>
        <w:spacing w:line="5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s="仿宋_GB2312"/>
          <w:color w:val="000000" w:themeColor="text1"/>
          <w:sz w:val="32"/>
          <w:szCs w:val="32"/>
          <w:lang w:val="zh-CN"/>
        </w:rPr>
        <w:t>主要考查学生的专项运动技能的结构化运用能力（体能、技战术能力和心理能力）表现。</w:t>
      </w:r>
      <w:r>
        <w:rPr>
          <w:rFonts w:hint="eastAsia" w:ascii="仿宋_GB2312" w:hAnsi="宋体" w:eastAsia="仿宋_GB2312"/>
          <w:color w:val="000000" w:themeColor="text1"/>
          <w:sz w:val="32"/>
          <w:szCs w:val="32"/>
        </w:rPr>
        <w:t>依据《普通高中体育与健康课程标准（2017年版</w:t>
      </w:r>
      <w:r>
        <w:rPr>
          <w:rFonts w:hint="eastAsia" w:ascii="仿宋_GB2312" w:hAnsi="微软雅黑" w:eastAsia="仿宋_GB2312" w:cs="仿宋_GB2312"/>
          <w:color w:val="000000" w:themeColor="text1"/>
          <w:sz w:val="32"/>
          <w:szCs w:val="32"/>
          <w:shd w:val="clear" w:color="auto" w:fill="FFFFFF"/>
        </w:rPr>
        <w:t>2020年修订</w:t>
      </w:r>
      <w:r>
        <w:rPr>
          <w:rFonts w:hint="eastAsia" w:ascii="仿宋_GB2312" w:hAnsi="宋体" w:eastAsia="仿宋_GB2312"/>
          <w:color w:val="000000" w:themeColor="text1"/>
          <w:sz w:val="32"/>
          <w:szCs w:val="32"/>
        </w:rPr>
        <w:t>）》必修选学（运动技能系列）的内容要求设置专项运动技能测试内容，测试时考生从</w:t>
      </w:r>
      <w:r>
        <w:rPr>
          <w:rFonts w:hint="eastAsia" w:eastAsia="仿宋_GB2312"/>
          <w:color w:val="000000" w:themeColor="text1"/>
          <w:kern w:val="15"/>
          <w:sz w:val="32"/>
          <w:szCs w:val="32"/>
        </w:rPr>
        <w:t>田径、游泳、体操（健美操）、球类（篮球、排球、足球、乒乓球、羽毛球、网球）、武术、跳绳等</w:t>
      </w:r>
      <w:r>
        <w:rPr>
          <w:rFonts w:hint="eastAsia" w:ascii="仿宋_GB2312" w:hAnsi="仿宋_GB2312" w:eastAsia="仿宋_GB2312" w:cs="仿宋_GB2312"/>
          <w:color w:val="000000" w:themeColor="text1"/>
          <w:kern w:val="15"/>
          <w:sz w:val="32"/>
          <w:szCs w:val="32"/>
        </w:rPr>
        <w:t>6</w:t>
      </w:r>
      <w:r>
        <w:rPr>
          <w:rFonts w:hint="eastAsia" w:eastAsia="仿宋_GB2312"/>
          <w:color w:val="000000" w:themeColor="text1"/>
          <w:kern w:val="15"/>
          <w:sz w:val="32"/>
          <w:szCs w:val="32"/>
        </w:rPr>
        <w:t>大类运动项目中选择</w:t>
      </w:r>
      <w:r>
        <w:rPr>
          <w:rFonts w:hint="eastAsia" w:ascii="仿宋_GB2312" w:hAnsi="仿宋_GB2312" w:eastAsia="仿宋_GB2312" w:cs="仿宋_GB2312"/>
          <w:color w:val="000000" w:themeColor="text1"/>
          <w:kern w:val="15"/>
          <w:sz w:val="32"/>
          <w:szCs w:val="32"/>
        </w:rPr>
        <w:t>2</w:t>
      </w:r>
      <w:r>
        <w:rPr>
          <w:rFonts w:hint="eastAsia" w:eastAsia="仿宋_GB2312"/>
          <w:color w:val="000000" w:themeColor="text1"/>
          <w:kern w:val="15"/>
          <w:sz w:val="32"/>
          <w:szCs w:val="32"/>
        </w:rPr>
        <w:t>项不同类别项目进行测试。</w:t>
      </w:r>
    </w:p>
    <w:p>
      <w:pPr>
        <w:adjustRightInd w:val="0"/>
        <w:snapToGrid w:val="0"/>
        <w:spacing w:line="580" w:lineRule="exact"/>
        <w:ind w:firstLine="640" w:firstLineChars="200"/>
        <w:rPr>
          <w:rFonts w:ascii="仿宋_GB2312" w:hAnsi="宋体" w:eastAsia="仿宋_GB2312"/>
          <w:b w:val="0"/>
          <w:bCs w:val="0"/>
          <w:color w:val="000000" w:themeColor="text1"/>
          <w:sz w:val="32"/>
          <w:szCs w:val="32"/>
        </w:rPr>
      </w:pPr>
      <w:r>
        <w:rPr>
          <w:rFonts w:hint="eastAsia" w:ascii="仿宋_GB2312" w:hAnsi="宋体" w:eastAsia="仿宋_GB2312"/>
          <w:b w:val="0"/>
          <w:bCs w:val="0"/>
          <w:color w:val="000000" w:themeColor="text1"/>
          <w:sz w:val="32"/>
          <w:szCs w:val="32"/>
        </w:rPr>
        <w:t>2.测试方式</w:t>
      </w:r>
    </w:p>
    <w:p>
      <w:pPr>
        <w:adjustRightInd w:val="0"/>
        <w:snapToGrid w:val="0"/>
        <w:spacing w:line="580" w:lineRule="exact"/>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olor w:val="000000" w:themeColor="text1"/>
          <w:sz w:val="32"/>
          <w:szCs w:val="32"/>
        </w:rPr>
        <w:t>测试</w:t>
      </w:r>
      <w:r>
        <w:rPr>
          <w:rFonts w:hint="eastAsia" w:ascii="仿宋_GB2312" w:hAnsi="宋体" w:eastAsia="仿宋_GB2312" w:cs="仿宋_GB2312"/>
          <w:color w:val="000000" w:themeColor="text1"/>
          <w:sz w:val="32"/>
          <w:szCs w:val="32"/>
          <w:lang w:val="zh-CN"/>
        </w:rPr>
        <w:t>采用</w:t>
      </w:r>
      <w:r>
        <w:rPr>
          <w:rFonts w:hint="eastAsia" w:ascii="仿宋_GB2312" w:hAnsi="宋体" w:eastAsia="仿宋_GB2312" w:cs="仿宋_GB2312"/>
          <w:color w:val="000000" w:themeColor="text1"/>
          <w:sz w:val="32"/>
          <w:szCs w:val="32"/>
        </w:rPr>
        <w:t>集中</w:t>
      </w:r>
      <w:r>
        <w:rPr>
          <w:rFonts w:hint="eastAsia" w:ascii="仿宋_GB2312" w:hAnsi="宋体" w:eastAsia="仿宋_GB2312" w:cs="仿宋_GB2312"/>
          <w:color w:val="000000" w:themeColor="text1"/>
          <w:sz w:val="32"/>
          <w:szCs w:val="32"/>
          <w:lang w:val="zh-CN"/>
        </w:rPr>
        <w:t>现场测试的方式进行，测试结果由考生现场签名确认。</w:t>
      </w:r>
      <w:r>
        <w:rPr>
          <w:rFonts w:hint="eastAsia" w:ascii="仿宋_GB2312" w:hAnsi="方正小标宋简体" w:eastAsia="仿宋_GB2312" w:cs="方正小标宋简体"/>
          <w:color w:val="000000" w:themeColor="text1"/>
          <w:sz w:val="32"/>
          <w:szCs w:val="32"/>
        </w:rPr>
        <w:t>各项目测试具体内容、场地器材要求、测试规则、评分标准等另行制定公布。</w:t>
      </w:r>
    </w:p>
    <w:p>
      <w:pPr>
        <w:widowControl w:val="0"/>
        <w:adjustRightInd w:val="0"/>
        <w:snapToGrid w:val="0"/>
        <w:spacing w:line="580" w:lineRule="exact"/>
        <w:ind w:firstLine="645"/>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四、考试对象和时间</w:t>
      </w:r>
    </w:p>
    <w:p>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宋体" w:eastAsia="仿宋_GB2312"/>
          <w:color w:val="000000" w:themeColor="text1"/>
          <w:sz w:val="32"/>
          <w:szCs w:val="32"/>
        </w:rPr>
        <w:t>具有普通高中学籍的在校学生和申请普通高中同等学力的人员均应参加普通高中体育与健康学业水平考试。</w:t>
      </w:r>
      <w:r>
        <w:rPr>
          <w:rFonts w:hint="eastAsia" w:ascii="仿宋_GB2312" w:hAnsi="仿宋_GB2312" w:eastAsia="仿宋_GB2312" w:cs="仿宋_GB2312"/>
          <w:color w:val="000000" w:themeColor="text1"/>
          <w:sz w:val="32"/>
          <w:szCs w:val="32"/>
        </w:rPr>
        <w:t>申请同等学力人员只参加</w:t>
      </w:r>
      <w:r>
        <w:rPr>
          <w:rFonts w:hint="eastAsia" w:ascii="仿宋_GB2312" w:hAnsi="宋体" w:eastAsia="仿宋_GB2312"/>
          <w:color w:val="000000" w:themeColor="text1"/>
          <w:sz w:val="32"/>
          <w:szCs w:val="32"/>
        </w:rPr>
        <w:t>终结性专项运动技能测试。终结性专项运动技能测试安排在高三第一学期进行，测试不及格</w:t>
      </w:r>
      <w:r>
        <w:rPr>
          <w:rFonts w:hint="eastAsia" w:ascii="仿宋_GB2312" w:hAnsi="宋体" w:eastAsia="仿宋_GB2312" w:cs="仿宋_GB2312"/>
          <w:color w:val="000000" w:themeColor="text1"/>
          <w:sz w:val="32"/>
          <w:szCs w:val="32"/>
        </w:rPr>
        <w:t>，可以</w:t>
      </w:r>
      <w:r>
        <w:rPr>
          <w:rFonts w:hint="eastAsia" w:ascii="仿宋_GB2312" w:hAnsi="宋体" w:eastAsia="仿宋_GB2312"/>
          <w:color w:val="000000" w:themeColor="text1"/>
          <w:sz w:val="32"/>
          <w:szCs w:val="32"/>
        </w:rPr>
        <w:t>补测1次</w:t>
      </w:r>
      <w:r>
        <w:rPr>
          <w:rFonts w:hint="eastAsia" w:ascii="仿宋_GB2312" w:hAnsi="宋体" w:eastAsia="仿宋_GB2312"/>
          <w:color w:val="000000" w:themeColor="text1"/>
          <w:sz w:val="32"/>
          <w:szCs w:val="32"/>
          <w:lang w:val="zh-CN"/>
        </w:rPr>
        <w:t>。</w:t>
      </w:r>
      <w:r>
        <w:rPr>
          <w:rFonts w:hint="eastAsia" w:ascii="仿宋_GB2312" w:hAnsi="宋体" w:eastAsia="仿宋_GB2312"/>
          <w:color w:val="000000" w:themeColor="text1"/>
          <w:sz w:val="32"/>
          <w:szCs w:val="32"/>
        </w:rPr>
        <w:t>首次现场测试时间一般安排在10月至11月，补考时间原则上安排在首次现场测试结束后1个月内。</w:t>
      </w:r>
    </w:p>
    <w:p>
      <w:pPr>
        <w:widowControl w:val="0"/>
        <w:adjustRightInd w:val="0"/>
        <w:snapToGrid w:val="0"/>
        <w:spacing w:line="580" w:lineRule="exact"/>
        <w:ind w:firstLine="645"/>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五、考试组织实施</w:t>
      </w:r>
    </w:p>
    <w:p>
      <w:pPr>
        <w:widowControl w:val="0"/>
        <w:adjustRightInd w:val="0"/>
        <w:snapToGrid w:val="0"/>
        <w:spacing w:line="580" w:lineRule="exact"/>
        <w:ind w:firstLine="645"/>
        <w:jc w:val="left"/>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lang w:val="zh-CN"/>
        </w:rPr>
        <w:t>过程性评价由学校组织</w:t>
      </w:r>
      <w:r>
        <w:rPr>
          <w:rFonts w:hint="eastAsia" w:ascii="仿宋_GB2312" w:hAnsi="宋体" w:eastAsia="仿宋_GB2312" w:cs="仿宋_GB2312"/>
          <w:color w:val="000000" w:themeColor="text1"/>
          <w:sz w:val="32"/>
          <w:szCs w:val="32"/>
        </w:rPr>
        <w:t>实施。终结性专项运动技能测试由市教育局统一制订考试内容、要求、评分标准和细则，区教育行政部门统一组织实施。</w:t>
      </w:r>
      <w:r>
        <w:rPr>
          <w:rFonts w:hint="eastAsia" w:ascii="仿宋_GB2312" w:hAnsi="宋体" w:eastAsia="仿宋_GB2312" w:cs="仿宋_GB2312"/>
          <w:bCs/>
          <w:color w:val="000000" w:themeColor="text1"/>
          <w:sz w:val="32"/>
          <w:szCs w:val="32"/>
        </w:rPr>
        <w:t>测试期间，市教育局随机抽选学校进行巡视。</w:t>
      </w:r>
    </w:p>
    <w:p>
      <w:pPr>
        <w:widowControl w:val="0"/>
        <w:adjustRightInd w:val="0"/>
        <w:snapToGrid w:val="0"/>
        <w:spacing w:line="580" w:lineRule="exact"/>
        <w:ind w:firstLine="645"/>
        <w:jc w:val="left"/>
        <w:rPr>
          <w:rFonts w:ascii="黑体" w:hAnsi="黑体" w:eastAsia="黑体" w:cs="仿宋_GB2312"/>
          <w:color w:val="000000" w:themeColor="text1"/>
          <w:sz w:val="32"/>
          <w:szCs w:val="32"/>
          <w:lang w:val="zh-CN"/>
        </w:rPr>
      </w:pPr>
      <w:r>
        <w:rPr>
          <w:rFonts w:hint="eastAsia" w:ascii="黑体" w:hAnsi="黑体" w:eastAsia="黑体" w:cs="仿宋_GB2312"/>
          <w:color w:val="000000" w:themeColor="text1"/>
          <w:sz w:val="32"/>
          <w:szCs w:val="32"/>
        </w:rPr>
        <w:t>六</w:t>
      </w:r>
      <w:r>
        <w:rPr>
          <w:rFonts w:hint="eastAsia" w:ascii="黑体" w:hAnsi="黑体" w:eastAsia="黑体" w:cs="仿宋_GB2312"/>
          <w:color w:val="000000" w:themeColor="text1"/>
          <w:sz w:val="32"/>
          <w:szCs w:val="32"/>
          <w:lang w:val="zh-CN"/>
        </w:rPr>
        <w:t>、</w:t>
      </w:r>
      <w:r>
        <w:rPr>
          <w:rFonts w:hint="eastAsia" w:ascii="黑体" w:hAnsi="黑体" w:eastAsia="黑体"/>
          <w:color w:val="000000" w:themeColor="text1"/>
          <w:sz w:val="32"/>
          <w:szCs w:val="32"/>
        </w:rPr>
        <w:t>考试成绩呈现</w:t>
      </w:r>
    </w:p>
    <w:p>
      <w:pPr>
        <w:adjustRightInd w:val="0"/>
        <w:snapToGrid w:val="0"/>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（一）成绩呈现</w:t>
      </w:r>
    </w:p>
    <w:p>
      <w:pPr>
        <w:adjustRightInd w:val="0"/>
        <w:snapToGrid w:val="0"/>
        <w:spacing w:line="580" w:lineRule="exact"/>
        <w:ind w:firstLine="640" w:firstLineChars="200"/>
        <w:rPr>
          <w:rFonts w:ascii="仿宋_GB2312" w:eastAsia="仿宋_GB2312"/>
          <w:color w:val="000000" w:themeColor="text1"/>
          <w:sz w:val="32"/>
          <w:szCs w:val="32"/>
        </w:rPr>
      </w:pPr>
      <w:r>
        <w:rPr>
          <w:rFonts w:hint="eastAsia" w:ascii="仿宋_GB2312" w:hAnsi="宋体" w:eastAsia="仿宋_GB2312" w:cs="仿宋_GB2312"/>
          <w:color w:val="000000" w:themeColor="text1"/>
          <w:sz w:val="32"/>
          <w:szCs w:val="32"/>
        </w:rPr>
        <w:t>考生成绩由</w:t>
      </w:r>
      <w:r>
        <w:rPr>
          <w:rFonts w:hint="eastAsia" w:ascii="仿宋_GB2312" w:hAnsi="宋体" w:eastAsia="仿宋_GB2312" w:cs="仿宋_GB2312"/>
          <w:color w:val="000000" w:themeColor="text1"/>
          <w:sz w:val="32"/>
          <w:szCs w:val="32"/>
          <w:lang w:val="zh-CN"/>
        </w:rPr>
        <w:t>过程性评价的运动参与、体质健康</w:t>
      </w:r>
      <w:r>
        <w:rPr>
          <w:rFonts w:hint="eastAsia" w:ascii="仿宋_GB2312" w:hAnsi="宋体" w:eastAsia="仿宋_GB2312" w:cs="仿宋_GB2312"/>
          <w:color w:val="000000" w:themeColor="text1"/>
          <w:sz w:val="32"/>
          <w:szCs w:val="32"/>
        </w:rPr>
        <w:t>测试</w:t>
      </w:r>
      <w:r>
        <w:rPr>
          <w:rFonts w:hint="eastAsia" w:ascii="仿宋_GB2312" w:hAnsi="宋体" w:eastAsia="仿宋_GB2312" w:cs="仿宋_GB2312"/>
          <w:color w:val="000000" w:themeColor="text1"/>
          <w:sz w:val="32"/>
          <w:szCs w:val="32"/>
          <w:lang w:val="zh-CN"/>
        </w:rPr>
        <w:t>和专项运动技能测试</w:t>
      </w:r>
      <w:r>
        <w:rPr>
          <w:rFonts w:hint="eastAsia" w:ascii="仿宋_GB2312" w:hAnsi="宋体" w:eastAsia="仿宋_GB2312" w:cs="仿宋_GB2312"/>
          <w:color w:val="000000" w:themeColor="text1"/>
          <w:sz w:val="32"/>
          <w:szCs w:val="32"/>
        </w:rPr>
        <w:t>的成绩组成，最终成绩呈现方式为“合格”或“不合格”。在3学年内</w:t>
      </w:r>
      <w:r>
        <w:rPr>
          <w:rFonts w:hint="eastAsia" w:ascii="仿宋_GB2312" w:hAnsi="宋体" w:eastAsia="仿宋_GB2312" w:cs="仿宋_GB2312"/>
          <w:color w:val="000000" w:themeColor="text1"/>
          <w:sz w:val="32"/>
          <w:szCs w:val="32"/>
          <w:lang w:val="zh-CN"/>
        </w:rPr>
        <w:t>体质健康测试</w:t>
      </w:r>
      <w:r>
        <w:rPr>
          <w:rFonts w:hint="eastAsia" w:ascii="仿宋_GB2312" w:hAnsi="宋体" w:eastAsia="仿宋_GB2312" w:cs="仿宋_GB2312"/>
          <w:color w:val="000000" w:themeColor="text1"/>
          <w:sz w:val="32"/>
          <w:szCs w:val="32"/>
        </w:rPr>
        <w:t>有2次以上（含2次）合格，或在高三学年测试合格，则</w:t>
      </w:r>
      <w:r>
        <w:rPr>
          <w:rFonts w:hint="eastAsia" w:ascii="仿宋_GB2312" w:hAnsi="宋体" w:eastAsia="仿宋_GB2312" w:cs="仿宋_GB2312"/>
          <w:color w:val="000000" w:themeColor="text1"/>
          <w:sz w:val="32"/>
          <w:szCs w:val="32"/>
          <w:lang w:val="zh-CN"/>
        </w:rPr>
        <w:t>体质健康测试</w:t>
      </w:r>
      <w:r>
        <w:rPr>
          <w:rFonts w:hint="eastAsia" w:ascii="仿宋_GB2312" w:hAnsi="宋体" w:eastAsia="仿宋_GB2312" w:cs="仿宋_GB2312"/>
          <w:color w:val="000000" w:themeColor="text1"/>
          <w:sz w:val="32"/>
          <w:szCs w:val="32"/>
        </w:rPr>
        <w:t>最终成绩认定为合格。</w:t>
      </w:r>
      <w:r>
        <w:rPr>
          <w:rFonts w:hint="eastAsia" w:ascii="仿宋_GB2312" w:hAnsi="宋体" w:eastAsia="仿宋_GB2312" w:cs="仿宋_GB2312"/>
          <w:color w:val="000000" w:themeColor="text1"/>
          <w:sz w:val="32"/>
          <w:szCs w:val="32"/>
          <w:lang w:val="zh-CN"/>
        </w:rPr>
        <w:t>运动参与每学期每学年均达到合格标准，</w:t>
      </w:r>
      <w:r>
        <w:rPr>
          <w:rFonts w:hint="eastAsia" w:ascii="仿宋_GB2312" w:hAnsi="宋体" w:eastAsia="仿宋_GB2312" w:cs="仿宋_GB2312"/>
          <w:color w:val="000000" w:themeColor="text1"/>
          <w:sz w:val="32"/>
          <w:szCs w:val="32"/>
        </w:rPr>
        <w:t>且</w:t>
      </w:r>
      <w:r>
        <w:rPr>
          <w:rFonts w:hint="eastAsia" w:ascii="仿宋_GB2312" w:hAnsi="宋体" w:eastAsia="仿宋_GB2312" w:cs="仿宋_GB2312"/>
          <w:color w:val="000000" w:themeColor="text1"/>
          <w:sz w:val="32"/>
          <w:szCs w:val="32"/>
          <w:lang w:val="zh-CN"/>
        </w:rPr>
        <w:t>体质健康测试</w:t>
      </w:r>
      <w:r>
        <w:rPr>
          <w:rFonts w:hint="eastAsia" w:ascii="仿宋_GB2312" w:hAnsi="宋体" w:eastAsia="仿宋_GB2312" w:cs="仿宋_GB2312"/>
          <w:color w:val="000000" w:themeColor="text1"/>
          <w:sz w:val="32"/>
          <w:szCs w:val="32"/>
        </w:rPr>
        <w:t>最终成绩、</w:t>
      </w:r>
      <w:r>
        <w:rPr>
          <w:rFonts w:hint="eastAsia" w:ascii="仿宋_GB2312" w:hAnsi="宋体" w:eastAsia="仿宋_GB2312" w:cs="仿宋_GB2312"/>
          <w:color w:val="000000" w:themeColor="text1"/>
          <w:sz w:val="32"/>
          <w:szCs w:val="32"/>
          <w:lang w:val="zh-CN"/>
        </w:rPr>
        <w:t>专项运动技能测试成绩也达到合格标准，</w:t>
      </w:r>
      <w:r>
        <w:rPr>
          <w:rFonts w:hint="eastAsia" w:ascii="仿宋_GB2312" w:hAnsi="宋体" w:eastAsia="仿宋_GB2312" w:cs="仿宋_GB2312"/>
          <w:color w:val="000000" w:themeColor="text1"/>
          <w:sz w:val="32"/>
          <w:szCs w:val="32"/>
        </w:rPr>
        <w:t>则</w:t>
      </w:r>
      <w:r>
        <w:rPr>
          <w:rFonts w:hint="eastAsia" w:ascii="仿宋_GB2312" w:hAnsi="宋体" w:eastAsia="仿宋_GB2312" w:cs="仿宋_GB2312"/>
          <w:color w:val="000000" w:themeColor="text1"/>
          <w:sz w:val="32"/>
          <w:szCs w:val="32"/>
          <w:lang w:val="zh-CN"/>
        </w:rPr>
        <w:t>体育与健康学业水平最终成绩方可认定为“合格”，一项不合格或缺考，成绩认定为“不合格”。</w:t>
      </w:r>
      <w:r>
        <w:rPr>
          <w:rFonts w:hint="eastAsia" w:ascii="仿宋_GB2312" w:eastAsia="仿宋_GB2312"/>
          <w:color w:val="000000" w:themeColor="text1"/>
          <w:sz w:val="32"/>
          <w:szCs w:val="32"/>
        </w:rPr>
        <w:t>考试成绩在学生综合素质评价档案中分项如实记录。</w:t>
      </w:r>
    </w:p>
    <w:p>
      <w:pPr>
        <w:adjustRightInd w:val="0"/>
        <w:snapToGrid w:val="0"/>
        <w:spacing w:line="580" w:lineRule="exact"/>
        <w:ind w:firstLine="643" w:firstLineChars="200"/>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（二）特殊类考生的成绩评定</w:t>
      </w:r>
    </w:p>
    <w:p>
      <w:pPr>
        <w:widowControl w:val="0"/>
        <w:adjustRightInd w:val="0"/>
        <w:snapToGrid w:val="0"/>
        <w:spacing w:line="580" w:lineRule="exact"/>
        <w:ind w:firstLine="645"/>
        <w:jc w:val="left"/>
        <w:rPr>
          <w:rFonts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1.</w:t>
      </w:r>
      <w:r>
        <w:rPr>
          <w:rFonts w:hint="eastAsia" w:ascii="仿宋_GB2312" w:eastAsia="仿宋_GB2312"/>
          <w:b w:val="0"/>
          <w:bCs w:val="0"/>
          <w:color w:val="000000" w:themeColor="text1"/>
          <w:sz w:val="32"/>
          <w:szCs w:val="32"/>
          <w:lang w:val="zh-CN"/>
        </w:rPr>
        <w:t>高</w:t>
      </w:r>
      <w:r>
        <w:rPr>
          <w:rFonts w:hint="eastAsia" w:ascii="仿宋_GB2312" w:eastAsia="仿宋_GB2312"/>
          <w:b w:val="0"/>
          <w:bCs w:val="0"/>
          <w:color w:val="000000" w:themeColor="text1"/>
          <w:sz w:val="32"/>
          <w:szCs w:val="32"/>
        </w:rPr>
        <w:t>中阶段已办理免修体育实践课手续的考生。</w:t>
      </w:r>
    </w:p>
    <w:p>
      <w:pPr>
        <w:widowControl w:val="0"/>
        <w:adjustRightInd w:val="0"/>
        <w:snapToGrid w:val="0"/>
        <w:spacing w:line="580" w:lineRule="exact"/>
        <w:ind w:firstLine="645"/>
        <w:jc w:val="left"/>
        <w:rPr>
          <w:rFonts w:ascii="仿宋_GB2312" w:eastAsia="仿宋_GB2312"/>
          <w:color w:val="000000" w:themeColor="text1"/>
          <w:sz w:val="32"/>
          <w:szCs w:val="32"/>
        </w:rPr>
      </w:pPr>
      <w:r>
        <w:rPr>
          <w:rFonts w:hint="eastAsia" w:ascii="仿宋_GB2312" w:eastAsia="仿宋_GB2312"/>
          <w:color w:val="000000" w:themeColor="text1"/>
          <w:sz w:val="32"/>
          <w:szCs w:val="32"/>
        </w:rPr>
        <w:t>出具高中阶段免执行《国家学生体质健康标准》的申请表，成绩可评定为合格，需注明免测，填写为合格（免测）。</w:t>
      </w:r>
    </w:p>
    <w:p>
      <w:pPr>
        <w:widowControl w:val="0"/>
        <w:adjustRightInd w:val="0"/>
        <w:snapToGrid w:val="0"/>
        <w:spacing w:line="580" w:lineRule="exact"/>
        <w:ind w:firstLine="645"/>
        <w:jc w:val="left"/>
        <w:rPr>
          <w:rFonts w:ascii="仿宋_GB2312" w:eastAsia="仿宋_GB2312"/>
          <w:b w:val="0"/>
          <w:bCs w:val="0"/>
          <w:color w:val="000000" w:themeColor="text1"/>
          <w:kern w:val="0"/>
          <w:sz w:val="32"/>
          <w:szCs w:val="32"/>
        </w:rPr>
      </w:pPr>
      <w:r>
        <w:rPr>
          <w:rFonts w:hint="eastAsia" w:ascii="仿宋_GB2312" w:eastAsia="仿宋_GB2312"/>
          <w:b w:val="0"/>
          <w:bCs w:val="0"/>
          <w:color w:val="000000" w:themeColor="text1"/>
          <w:sz w:val="32"/>
          <w:szCs w:val="32"/>
        </w:rPr>
        <w:t>2.身体发育异常、营养不良及肥胖症、畸形等仍然</w:t>
      </w:r>
      <w:r>
        <w:rPr>
          <w:rFonts w:hint="eastAsia" w:ascii="仿宋_GB2312" w:eastAsia="仿宋_GB2312"/>
          <w:b w:val="0"/>
          <w:bCs w:val="0"/>
          <w:color w:val="000000" w:themeColor="text1"/>
          <w:kern w:val="0"/>
          <w:sz w:val="32"/>
          <w:szCs w:val="32"/>
        </w:rPr>
        <w:t>能上体育实践课的考生。</w:t>
      </w:r>
    </w:p>
    <w:p>
      <w:pPr>
        <w:widowControl w:val="0"/>
        <w:adjustRightInd w:val="0"/>
        <w:snapToGrid w:val="0"/>
        <w:spacing w:line="580" w:lineRule="exact"/>
        <w:ind w:firstLine="645"/>
        <w:jc w:val="left"/>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（1）资格界定</w:t>
      </w:r>
    </w:p>
    <w:p>
      <w:pPr>
        <w:widowControl w:val="0"/>
        <w:adjustRightInd w:val="0"/>
        <w:snapToGrid w:val="0"/>
        <w:spacing w:line="580" w:lineRule="exact"/>
        <w:ind w:firstLine="645"/>
        <w:jc w:val="left"/>
        <w:rPr>
          <w:rFonts w:ascii="仿宋_GB2312" w:eastAsia="仿宋_GB2312"/>
          <w:color w:val="000000" w:themeColor="text1"/>
          <w:sz w:val="32"/>
          <w:szCs w:val="32"/>
        </w:rPr>
      </w:pPr>
      <w:r>
        <w:rPr>
          <w:rFonts w:hint="eastAsia" w:ascii="仿宋_GB2312" w:eastAsia="仿宋_GB2312"/>
          <w:color w:val="000000" w:themeColor="text1"/>
          <w:sz w:val="32"/>
          <w:szCs w:val="32"/>
        </w:rPr>
        <w:t>持有三甲医院证明。界定标准如下：</w:t>
      </w:r>
    </w:p>
    <w:p>
      <w:pPr>
        <w:widowControl w:val="0"/>
        <w:adjustRightInd w:val="0"/>
        <w:snapToGrid w:val="0"/>
        <w:spacing w:line="580" w:lineRule="exact"/>
        <w:ind w:firstLine="645"/>
        <w:jc w:val="left"/>
        <w:rPr>
          <w:rFonts w:ascii="仿宋_GB2312" w:eastAsia="仿宋_GB2312"/>
          <w:color w:val="000000" w:themeColor="text1"/>
          <w:sz w:val="32"/>
          <w:szCs w:val="32"/>
        </w:rPr>
      </w:pPr>
      <w:r>
        <w:rPr>
          <w:rFonts w:hint="eastAsia" w:ascii="仿宋_GB2312" w:eastAsia="仿宋_GB2312"/>
          <w:color w:val="000000" w:themeColor="text1"/>
          <w:sz w:val="32"/>
          <w:szCs w:val="32"/>
        </w:rPr>
        <w:t>第一类：营养不良〔计算公式：体重（公斤）/</w:t>
      </w:r>
      <w:r>
        <w:rPr>
          <w:rFonts w:hint="eastAsia" w:eastAsia="仿宋_GB2312"/>
          <w:color w:val="000000" w:themeColor="text1"/>
          <w:kern w:val="0"/>
          <w:sz w:val="32"/>
          <w:szCs w:val="32"/>
        </w:rPr>
        <w:t>身高</w:t>
      </w:r>
      <w:r>
        <w:rPr>
          <w:rFonts w:eastAsia="仿宋_GB2312"/>
          <w:color w:val="000000" w:themeColor="text1"/>
          <w:kern w:val="0"/>
          <w:sz w:val="32"/>
          <w:szCs w:val="32"/>
          <w:vertAlign w:val="superscript"/>
        </w:rPr>
        <w:t>2</w:t>
      </w:r>
      <w:r>
        <w:rPr>
          <w:rFonts w:hint="eastAsia" w:eastAsia="仿宋_GB2312"/>
          <w:color w:val="000000" w:themeColor="text1"/>
          <w:kern w:val="0"/>
          <w:sz w:val="32"/>
          <w:szCs w:val="32"/>
        </w:rPr>
        <w:t>（米</w:t>
      </w:r>
      <w:r>
        <w:rPr>
          <w:rFonts w:eastAsia="仿宋_GB2312"/>
          <w:color w:val="000000" w:themeColor="text1"/>
          <w:kern w:val="0"/>
          <w:sz w:val="32"/>
          <w:szCs w:val="32"/>
          <w:vertAlign w:val="superscript"/>
        </w:rPr>
        <w:t>2</w:t>
      </w:r>
      <w:r>
        <w:rPr>
          <w:rFonts w:hint="eastAsia" w:eastAsia="仿宋_GB2312"/>
          <w:color w:val="000000" w:themeColor="text1"/>
          <w:kern w:val="0"/>
          <w:sz w:val="32"/>
          <w:szCs w:val="32"/>
        </w:rPr>
        <w:t>）</w:t>
      </w:r>
      <w:r>
        <w:rPr>
          <w:rFonts w:hint="eastAsia" w:ascii="仿宋_GB2312" w:eastAsia="仿宋_GB2312"/>
          <w:color w:val="000000" w:themeColor="text1"/>
          <w:sz w:val="32"/>
          <w:szCs w:val="32"/>
        </w:rPr>
        <w:t>〕，≤15.5—14.6为I度；≤14.5为Ⅱ度。</w:t>
      </w:r>
    </w:p>
    <w:p>
      <w:pPr>
        <w:widowControl w:val="0"/>
        <w:adjustRightInd w:val="0"/>
        <w:snapToGrid w:val="0"/>
        <w:spacing w:line="580" w:lineRule="exact"/>
        <w:ind w:firstLine="645"/>
        <w:jc w:val="left"/>
        <w:rPr>
          <w:rFonts w:ascii="仿宋_GB2312" w:eastAsia="仿宋_GB2312"/>
          <w:color w:val="000000" w:themeColor="text1"/>
          <w:sz w:val="32"/>
          <w:szCs w:val="32"/>
        </w:rPr>
      </w:pPr>
      <w:r>
        <w:rPr>
          <w:rFonts w:hint="eastAsia" w:ascii="仿宋_GB2312" w:eastAsia="仿宋_GB2312"/>
          <w:color w:val="000000" w:themeColor="text1"/>
          <w:sz w:val="32"/>
          <w:szCs w:val="32"/>
        </w:rPr>
        <w:t>第二类：肥胖〔计算公式：体重（公斤）/</w:t>
      </w:r>
      <w:r>
        <w:rPr>
          <w:rFonts w:hint="eastAsia" w:eastAsia="仿宋_GB2312"/>
          <w:color w:val="000000" w:themeColor="text1"/>
          <w:kern w:val="0"/>
          <w:sz w:val="32"/>
          <w:szCs w:val="32"/>
        </w:rPr>
        <w:t>身高</w:t>
      </w:r>
      <w:r>
        <w:rPr>
          <w:rFonts w:eastAsia="仿宋_GB2312"/>
          <w:color w:val="000000" w:themeColor="text1"/>
          <w:kern w:val="0"/>
          <w:sz w:val="32"/>
          <w:szCs w:val="32"/>
          <w:vertAlign w:val="superscript"/>
        </w:rPr>
        <w:t>2</w:t>
      </w:r>
      <w:r>
        <w:rPr>
          <w:rFonts w:hint="eastAsia" w:eastAsia="仿宋_GB2312"/>
          <w:color w:val="000000" w:themeColor="text1"/>
          <w:kern w:val="0"/>
          <w:sz w:val="32"/>
          <w:szCs w:val="32"/>
        </w:rPr>
        <w:t>（米</w:t>
      </w:r>
      <w:r>
        <w:rPr>
          <w:rFonts w:eastAsia="仿宋_GB2312"/>
          <w:color w:val="000000" w:themeColor="text1"/>
          <w:kern w:val="0"/>
          <w:sz w:val="32"/>
          <w:szCs w:val="32"/>
          <w:vertAlign w:val="superscript"/>
        </w:rPr>
        <w:t>2</w:t>
      </w:r>
      <w:r>
        <w:rPr>
          <w:rFonts w:hint="eastAsia" w:eastAsia="仿宋_GB2312"/>
          <w:color w:val="000000" w:themeColor="text1"/>
          <w:kern w:val="0"/>
          <w:sz w:val="32"/>
          <w:szCs w:val="32"/>
        </w:rPr>
        <w:t>）</w:t>
      </w:r>
      <w:r>
        <w:rPr>
          <w:rFonts w:hint="eastAsia" w:ascii="仿宋_GB2312" w:eastAsia="仿宋_GB2312"/>
          <w:color w:val="000000" w:themeColor="text1"/>
          <w:sz w:val="32"/>
          <w:szCs w:val="32"/>
        </w:rPr>
        <w:t>〕，≥26.5—29.9为I度；≥30为Ⅱ度。</w:t>
      </w:r>
    </w:p>
    <w:p>
      <w:pPr>
        <w:widowControl w:val="0"/>
        <w:adjustRightInd w:val="0"/>
        <w:snapToGrid w:val="0"/>
        <w:spacing w:line="580" w:lineRule="exact"/>
        <w:ind w:firstLine="645"/>
        <w:jc w:val="left"/>
        <w:rPr>
          <w:rFonts w:ascii="仿宋_GB2312" w:eastAsia="仿宋_GB2312"/>
          <w:color w:val="000000" w:themeColor="text1"/>
          <w:sz w:val="32"/>
          <w:szCs w:val="32"/>
        </w:rPr>
      </w:pPr>
      <w:r>
        <w:rPr>
          <w:rFonts w:hint="eastAsia" w:ascii="仿宋_GB2312" w:eastAsia="仿宋_GB2312"/>
          <w:color w:val="000000" w:themeColor="text1"/>
          <w:sz w:val="32"/>
          <w:szCs w:val="32"/>
        </w:rPr>
        <w:t>第三类：严重脊柱弯曲，偏离中心线2.5厘米—3.4厘米为I度；3.5厘米以上为Ⅱ度。</w:t>
      </w:r>
    </w:p>
    <w:p>
      <w:pPr>
        <w:widowControl w:val="0"/>
        <w:adjustRightInd w:val="0"/>
        <w:snapToGrid w:val="0"/>
        <w:spacing w:line="580" w:lineRule="exact"/>
        <w:ind w:firstLine="645"/>
        <w:jc w:val="left"/>
        <w:rPr>
          <w:rFonts w:ascii="仿宋_GB2312" w:eastAsia="仿宋_GB2312"/>
          <w:color w:val="000000" w:themeColor="text1"/>
          <w:sz w:val="32"/>
          <w:szCs w:val="32"/>
        </w:rPr>
      </w:pPr>
      <w:r>
        <w:rPr>
          <w:rFonts w:hint="eastAsia" w:ascii="仿宋_GB2312" w:eastAsia="仿宋_GB2312"/>
          <w:color w:val="000000" w:themeColor="text1"/>
          <w:sz w:val="32"/>
          <w:szCs w:val="32"/>
        </w:rPr>
        <w:t>第四类：O型腿：两膝之间距离10厘米—19厘米为I度；20厘米以上为Ⅱ度。</w:t>
      </w:r>
    </w:p>
    <w:p>
      <w:pPr>
        <w:widowControl w:val="0"/>
        <w:adjustRightInd w:val="0"/>
        <w:snapToGrid w:val="0"/>
        <w:spacing w:line="580" w:lineRule="exact"/>
        <w:ind w:firstLine="645"/>
        <w:jc w:val="left"/>
        <w:rPr>
          <w:rFonts w:ascii="仿宋_GB2312" w:eastAsia="仿宋_GB2312"/>
          <w:color w:val="000000" w:themeColor="text1"/>
          <w:sz w:val="32"/>
          <w:szCs w:val="32"/>
        </w:rPr>
      </w:pPr>
      <w:r>
        <w:rPr>
          <w:rFonts w:hint="eastAsia" w:ascii="仿宋_GB2312" w:eastAsia="仿宋_GB2312"/>
          <w:color w:val="000000" w:themeColor="text1"/>
          <w:sz w:val="32"/>
          <w:szCs w:val="32"/>
        </w:rPr>
        <w:t>第五类：X型腿：两脚之间距离10厘米—19厘米为I度；20厘米以上为Ⅱ度。</w:t>
      </w:r>
    </w:p>
    <w:p>
      <w:pPr>
        <w:widowControl w:val="0"/>
        <w:adjustRightInd w:val="0"/>
        <w:snapToGrid w:val="0"/>
        <w:spacing w:line="580" w:lineRule="exact"/>
        <w:ind w:firstLine="645"/>
        <w:jc w:val="left"/>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（2）评定办法</w:t>
      </w:r>
    </w:p>
    <w:p>
      <w:pPr>
        <w:autoSpaceDE w:val="0"/>
        <w:autoSpaceDN w:val="0"/>
        <w:adjustRightInd w:val="0"/>
        <w:snapToGrid w:val="0"/>
        <w:spacing w:line="580" w:lineRule="exact"/>
        <w:ind w:firstLine="640" w:firstLineChars="200"/>
        <w:jc w:val="left"/>
        <w:rPr>
          <w:rFonts w:ascii="仿宋_GB2312" w:hAnsi="宋体" w:eastAsia="仿宋_GB2312" w:cs="仿宋_GB2312"/>
          <w:color w:val="000000" w:themeColor="text1"/>
          <w:sz w:val="32"/>
          <w:szCs w:val="32"/>
          <w:lang w:val="zh-CN"/>
        </w:rPr>
      </w:pPr>
      <w:r>
        <w:rPr>
          <w:rFonts w:hint="eastAsia" w:ascii="仿宋_GB2312" w:hAnsi="宋体" w:eastAsia="仿宋_GB2312" w:cs="仿宋_GB2312"/>
          <w:color w:val="000000" w:themeColor="text1"/>
          <w:sz w:val="32"/>
          <w:szCs w:val="32"/>
          <w:lang w:val="zh-CN"/>
        </w:rPr>
        <w:t>两类考生均需参与过程性评价。《国家学生体质健康标准》测试中，</w:t>
      </w:r>
      <w:r>
        <w:rPr>
          <w:rFonts w:hint="eastAsia" w:eastAsia="仿宋_GB2312"/>
          <w:color w:val="000000" w:themeColor="text1"/>
          <w:kern w:val="0"/>
          <w:sz w:val="32"/>
          <w:szCs w:val="32"/>
        </w:rPr>
        <w:t>达到</w:t>
      </w:r>
      <w:r>
        <w:rPr>
          <w:rFonts w:hint="eastAsia" w:ascii="仿宋_GB2312" w:eastAsia="仿宋_GB2312"/>
          <w:color w:val="000000" w:themeColor="text1"/>
          <w:sz w:val="32"/>
          <w:szCs w:val="32"/>
        </w:rPr>
        <w:t>I</w:t>
      </w:r>
      <w:r>
        <w:rPr>
          <w:rFonts w:hint="eastAsia" w:eastAsia="仿宋_GB2312"/>
          <w:color w:val="000000" w:themeColor="text1"/>
          <w:kern w:val="0"/>
          <w:sz w:val="32"/>
          <w:szCs w:val="32"/>
        </w:rPr>
        <w:t>度标准的考生，可在测试项目中自行选择力所能及的两个身体素质项目进行测试；达到</w:t>
      </w:r>
      <w:r>
        <w:rPr>
          <w:rFonts w:hint="eastAsia" w:ascii="宋体" w:hAnsi="宋体" w:cs="宋体"/>
          <w:color w:val="000000" w:themeColor="text1"/>
          <w:kern w:val="0"/>
          <w:sz w:val="32"/>
          <w:szCs w:val="32"/>
        </w:rPr>
        <w:t>Ⅱ</w:t>
      </w:r>
      <w:r>
        <w:rPr>
          <w:rFonts w:hint="eastAsia" w:eastAsia="仿宋_GB2312"/>
          <w:color w:val="000000" w:themeColor="text1"/>
          <w:kern w:val="0"/>
          <w:sz w:val="32"/>
          <w:szCs w:val="32"/>
        </w:rPr>
        <w:t>度标准的考生，可在身体素质测试项目中自行选择力所能及的</w:t>
      </w:r>
      <w:r>
        <w:rPr>
          <w:rFonts w:eastAsia="仿宋_GB2312"/>
          <w:color w:val="000000" w:themeColor="text1"/>
          <w:kern w:val="0"/>
          <w:sz w:val="32"/>
          <w:szCs w:val="32"/>
        </w:rPr>
        <w:t>1-2</w:t>
      </w:r>
      <w:r>
        <w:rPr>
          <w:rFonts w:hint="eastAsia" w:eastAsia="仿宋_GB2312"/>
          <w:color w:val="000000" w:themeColor="text1"/>
          <w:kern w:val="0"/>
          <w:sz w:val="32"/>
          <w:szCs w:val="32"/>
        </w:rPr>
        <w:t>个项目进行测试，也可以申请免考；身体素质测试和</w:t>
      </w:r>
      <w:r>
        <w:rPr>
          <w:rFonts w:hint="eastAsia" w:ascii="仿宋_GB2312" w:hAnsi="宋体" w:eastAsia="仿宋_GB2312" w:cs="仿宋_GB2312"/>
          <w:color w:val="000000" w:themeColor="text1"/>
          <w:sz w:val="32"/>
          <w:szCs w:val="32"/>
          <w:lang w:val="zh-CN"/>
        </w:rPr>
        <w:t>运动参与评价达到合格的，成绩评定为合格。</w:t>
      </w:r>
    </w:p>
    <w:p>
      <w:pPr>
        <w:widowControl w:val="0"/>
        <w:autoSpaceDE w:val="0"/>
        <w:autoSpaceDN w:val="0"/>
        <w:adjustRightInd w:val="0"/>
        <w:snapToGrid w:val="0"/>
        <w:spacing w:line="580" w:lineRule="exact"/>
        <w:ind w:firstLine="640" w:firstLineChars="200"/>
        <w:jc w:val="left"/>
        <w:rPr>
          <w:rFonts w:ascii="仿宋_GB2312" w:eastAsia="仿宋_GB2312"/>
          <w:b w:val="0"/>
          <w:bCs w:val="0"/>
          <w:color w:val="000000" w:themeColor="text1"/>
          <w:sz w:val="32"/>
          <w:szCs w:val="32"/>
        </w:rPr>
      </w:pPr>
      <w:r>
        <w:rPr>
          <w:rFonts w:hint="eastAsia" w:ascii="仿宋_GB2312" w:hAnsi="宋体" w:eastAsia="仿宋_GB2312" w:cs="仿宋_GB2312"/>
          <w:b w:val="0"/>
          <w:bCs w:val="0"/>
          <w:color w:val="000000" w:themeColor="text1"/>
          <w:sz w:val="32"/>
          <w:szCs w:val="32"/>
        </w:rPr>
        <w:t>3.</w:t>
      </w:r>
      <w:r>
        <w:rPr>
          <w:rFonts w:hint="eastAsia" w:ascii="仿宋_GB2312" w:hAnsi="宋体" w:eastAsia="仿宋_GB2312" w:cs="仿宋_GB2312"/>
          <w:b w:val="0"/>
          <w:bCs w:val="0"/>
          <w:color w:val="000000" w:themeColor="text1"/>
          <w:sz w:val="32"/>
          <w:szCs w:val="32"/>
          <w:lang w:val="zh-CN"/>
        </w:rPr>
        <w:t>参加《国家学生体质健康标准》测试和</w:t>
      </w:r>
      <w:r>
        <w:rPr>
          <w:rFonts w:hint="eastAsia" w:ascii="仿宋_GB2312" w:hAnsi="宋体" w:eastAsia="仿宋_GB2312" w:cs="仿宋_GB2312"/>
          <w:b w:val="0"/>
          <w:bCs w:val="0"/>
          <w:color w:val="000000" w:themeColor="text1"/>
          <w:sz w:val="32"/>
          <w:szCs w:val="32"/>
        </w:rPr>
        <w:t>专项运动技能</w:t>
      </w:r>
      <w:r>
        <w:rPr>
          <w:rFonts w:hint="eastAsia" w:ascii="仿宋_GB2312" w:eastAsia="仿宋_GB2312"/>
          <w:b w:val="0"/>
          <w:bCs w:val="0"/>
          <w:color w:val="000000" w:themeColor="text1"/>
          <w:sz w:val="32"/>
          <w:szCs w:val="32"/>
        </w:rPr>
        <w:t>测试时临时有伤、病或残疾的考生。</w:t>
      </w:r>
    </w:p>
    <w:p>
      <w:pPr>
        <w:widowControl w:val="0"/>
        <w:adjustRightInd w:val="0"/>
        <w:snapToGrid w:val="0"/>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（1）体质健康测试缓免考的办理</w:t>
      </w:r>
    </w:p>
    <w:p>
      <w:pPr>
        <w:widowControl w:val="0"/>
        <w:adjustRightInd w:val="0"/>
        <w:snapToGrid w:val="0"/>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按《国家学生体质健康标准》相关流程及要求执行。</w:t>
      </w:r>
    </w:p>
    <w:p>
      <w:pPr>
        <w:widowControl w:val="0"/>
        <w:adjustRightInd w:val="0"/>
        <w:snapToGrid w:val="0"/>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（2）专项运动技能测试缓免考的办理</w:t>
      </w:r>
    </w:p>
    <w:p>
      <w:pPr>
        <w:spacing w:line="580" w:lineRule="exact"/>
        <w:ind w:firstLine="640" w:firstLineChars="200"/>
        <w:rPr>
          <w:rFonts w:ascii="仿宋_GB2312" w:hAnsi="宋体" w:eastAsia="仿宋_GB2312" w:cs="仿宋_GB2312"/>
          <w:color w:val="000000" w:themeColor="text1"/>
          <w:sz w:val="32"/>
          <w:szCs w:val="32"/>
          <w:lang w:val="zh-CN"/>
        </w:rPr>
      </w:pPr>
      <w:r>
        <w:rPr>
          <w:rFonts w:hint="eastAsia" w:ascii="仿宋_GB2312" w:hAnsi="宋体" w:eastAsia="仿宋_GB2312"/>
          <w:color w:val="000000" w:themeColor="text1"/>
          <w:kern w:val="0"/>
          <w:sz w:val="32"/>
          <w:szCs w:val="32"/>
        </w:rPr>
        <w:t>申请缓考的考生须持</w:t>
      </w:r>
      <w:r>
        <w:rPr>
          <w:rFonts w:hint="eastAsia" w:ascii="仿宋_GB2312" w:hAnsi="仿宋_GB2312" w:eastAsia="仿宋_GB2312" w:cs="仿宋_GB2312"/>
          <w:color w:val="000000" w:themeColor="text1"/>
          <w:sz w:val="32"/>
          <w:szCs w:val="32"/>
        </w:rPr>
        <w:t>三甲以上医院的诊断证明（就医病历），经学校同意并加盖公章，由学校汇总报区教育行政部门</w:t>
      </w:r>
      <w:r>
        <w:rPr>
          <w:rFonts w:hint="eastAsia" w:ascii="仿宋_GB2312" w:hAnsi="宋体" w:eastAsia="仿宋_GB2312" w:cs="仿宋_GB2312"/>
          <w:color w:val="000000" w:themeColor="text1"/>
          <w:sz w:val="32"/>
          <w:szCs w:val="32"/>
        </w:rPr>
        <w:t>核准后，可办理缓考</w:t>
      </w:r>
      <w:r>
        <w:rPr>
          <w:rFonts w:hint="eastAsia" w:ascii="仿宋_GB2312" w:hAnsi="仿宋_GB2312"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缓考时间在测试结束后1个月内进行。缓考</w:t>
      </w:r>
      <w:r>
        <w:rPr>
          <w:rFonts w:hint="eastAsia" w:ascii="仿宋_GB2312" w:hAnsi="宋体" w:eastAsia="仿宋_GB2312" w:cs="仿宋_GB2312"/>
          <w:color w:val="000000" w:themeColor="text1"/>
          <w:sz w:val="32"/>
          <w:szCs w:val="32"/>
          <w:lang w:val="zh-CN"/>
        </w:rPr>
        <w:t>为年度终结性测试，以实际</w:t>
      </w:r>
      <w:r>
        <w:rPr>
          <w:rFonts w:hint="eastAsia" w:ascii="仿宋_GB2312" w:hAnsi="宋体" w:eastAsia="仿宋_GB2312" w:cs="仿宋_GB2312"/>
          <w:color w:val="000000" w:themeColor="text1"/>
          <w:sz w:val="32"/>
          <w:szCs w:val="32"/>
        </w:rPr>
        <w:t>测试</w:t>
      </w:r>
      <w:r>
        <w:rPr>
          <w:rFonts w:hint="eastAsia" w:ascii="仿宋_GB2312" w:hAnsi="宋体" w:eastAsia="仿宋_GB2312" w:cs="仿宋_GB2312"/>
          <w:color w:val="000000" w:themeColor="text1"/>
          <w:sz w:val="32"/>
          <w:szCs w:val="32"/>
          <w:lang w:val="zh-CN"/>
        </w:rPr>
        <w:t>成绩评定是否合格。</w:t>
      </w:r>
    </w:p>
    <w:p>
      <w:pPr>
        <w:spacing w:line="580" w:lineRule="exact"/>
        <w:ind w:firstLine="640" w:firstLineChars="200"/>
        <w:rPr>
          <w:rFonts w:ascii="黑体" w:hAnsi="黑体" w:eastAsia="黑体"/>
          <w:color w:val="000000" w:themeColor="text1"/>
          <w:sz w:val="32"/>
          <w:szCs w:val="32"/>
        </w:rPr>
      </w:pPr>
      <w:r>
        <w:rPr>
          <w:rFonts w:hint="eastAsia" w:ascii="仿宋_GB2312" w:hAnsi="宋体" w:eastAsia="仿宋_GB2312" w:cs="仿宋_GB2312"/>
          <w:color w:val="000000" w:themeColor="text1"/>
          <w:sz w:val="32"/>
          <w:szCs w:val="32"/>
          <w:lang w:val="zh-CN"/>
        </w:rPr>
        <w:t>在</w:t>
      </w:r>
      <w:r>
        <w:rPr>
          <w:rFonts w:hint="eastAsia" w:ascii="仿宋_GB2312" w:hAnsi="宋体" w:eastAsia="仿宋_GB2312" w:cs="仿宋_GB2312"/>
          <w:color w:val="000000" w:themeColor="text1"/>
          <w:sz w:val="32"/>
          <w:szCs w:val="32"/>
        </w:rPr>
        <w:t>缓</w:t>
      </w:r>
      <w:r>
        <w:rPr>
          <w:rFonts w:hint="eastAsia" w:ascii="仿宋_GB2312" w:hAnsi="宋体" w:eastAsia="仿宋_GB2312" w:cs="仿宋_GB2312"/>
          <w:color w:val="000000" w:themeColor="text1"/>
          <w:sz w:val="32"/>
          <w:szCs w:val="32"/>
          <w:lang w:val="zh-CN"/>
        </w:rPr>
        <w:t>考前身体机能状况仍然达不到测试要求的，</w:t>
      </w:r>
      <w:r>
        <w:rPr>
          <w:rFonts w:hint="eastAsia" w:ascii="仿宋_GB2312" w:hAnsi="宋体" w:eastAsia="仿宋_GB2312"/>
          <w:color w:val="000000" w:themeColor="text1"/>
          <w:kern w:val="0"/>
          <w:sz w:val="32"/>
          <w:szCs w:val="32"/>
        </w:rPr>
        <w:t>持</w:t>
      </w:r>
      <w:r>
        <w:rPr>
          <w:rFonts w:hint="eastAsia" w:ascii="仿宋_GB2312" w:hAnsi="仿宋_GB2312" w:eastAsia="仿宋_GB2312" w:cs="仿宋_GB2312"/>
          <w:color w:val="000000" w:themeColor="text1"/>
          <w:sz w:val="32"/>
          <w:szCs w:val="32"/>
        </w:rPr>
        <w:t>三甲以上医院的诊断证明（就医病历），经学校同意并加盖公章，由学校汇总报区教育行政部门认定</w:t>
      </w:r>
      <w:r>
        <w:rPr>
          <w:rFonts w:hint="eastAsia" w:ascii="仿宋_GB2312" w:hAnsi="宋体" w:eastAsia="仿宋_GB2312" w:cs="仿宋_GB2312"/>
          <w:color w:val="000000" w:themeColor="text1"/>
          <w:sz w:val="32"/>
          <w:szCs w:val="32"/>
        </w:rPr>
        <w:t>后，</w:t>
      </w:r>
      <w:r>
        <w:rPr>
          <w:rFonts w:hint="eastAsia" w:ascii="仿宋_GB2312" w:hAnsi="宋体" w:eastAsia="仿宋_GB2312" w:cs="仿宋_GB2312"/>
          <w:color w:val="000000" w:themeColor="text1"/>
          <w:sz w:val="32"/>
          <w:szCs w:val="32"/>
          <w:lang w:val="zh-CN"/>
        </w:rPr>
        <w:t>可免考，成绩</w:t>
      </w:r>
      <w:r>
        <w:rPr>
          <w:rFonts w:hint="eastAsia" w:ascii="仿宋_GB2312" w:eastAsia="仿宋_GB2312"/>
          <w:color w:val="000000" w:themeColor="text1"/>
          <w:sz w:val="32"/>
          <w:szCs w:val="32"/>
        </w:rPr>
        <w:t>填写为合格（免测）。</w:t>
      </w:r>
    </w:p>
    <w:p>
      <w:pPr>
        <w:widowControl w:val="0"/>
        <w:adjustRightInd w:val="0"/>
        <w:snapToGrid w:val="0"/>
        <w:spacing w:line="580" w:lineRule="exact"/>
        <w:ind w:firstLine="645"/>
        <w:jc w:val="left"/>
        <w:rPr>
          <w:rFonts w:ascii="黑体" w:hAnsi="黑体" w:eastAsia="黑体"/>
          <w:color w:val="000000" w:themeColor="text1"/>
          <w:sz w:val="32"/>
          <w:szCs w:val="32"/>
        </w:rPr>
      </w:pPr>
      <w:r>
        <w:rPr>
          <w:rFonts w:hint="eastAsia" w:ascii="黑体" w:hAnsi="黑体" w:eastAsia="黑体"/>
          <w:color w:val="000000" w:themeColor="text1"/>
          <w:sz w:val="32"/>
          <w:szCs w:val="32"/>
        </w:rPr>
        <w:t>七、工作要求</w:t>
      </w:r>
    </w:p>
    <w:p>
      <w:pPr>
        <w:shd w:val="clear" w:color="auto" w:fill="FFFFFF"/>
        <w:adjustRightInd w:val="0"/>
        <w:snapToGrid w:val="0"/>
        <w:spacing w:line="580" w:lineRule="exact"/>
        <w:ind w:firstLine="643" w:firstLineChars="200"/>
        <w:jc w:val="left"/>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（一）加强组织领导</w:t>
      </w:r>
    </w:p>
    <w:p>
      <w:pPr>
        <w:shd w:val="clear" w:color="auto" w:fill="FFFFFF"/>
        <w:adjustRightInd w:val="0"/>
        <w:snapToGrid w:val="0"/>
        <w:spacing w:line="580" w:lineRule="exact"/>
        <w:ind w:firstLine="640" w:firstLineChars="200"/>
        <w:jc w:val="left"/>
        <w:rPr>
          <w:rFonts w:ascii="仿宋_GB2312"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各区教育行政部门、各学校要</w:t>
      </w:r>
      <w:r>
        <w:rPr>
          <w:rFonts w:hint="eastAsia" w:eastAsia="仿宋_GB2312"/>
          <w:color w:val="000000" w:themeColor="text1"/>
          <w:kern w:val="15"/>
          <w:sz w:val="32"/>
          <w:szCs w:val="32"/>
        </w:rPr>
        <w:t>高度重视，</w:t>
      </w:r>
      <w:r>
        <w:rPr>
          <w:rFonts w:hint="eastAsia" w:ascii="仿宋_GB2312" w:hAnsi="仿宋_GB2312" w:eastAsia="仿宋_GB2312" w:cs="仿宋_GB2312"/>
          <w:color w:val="000000" w:themeColor="text1"/>
          <w:sz w:val="32"/>
          <w:szCs w:val="32"/>
        </w:rPr>
        <w:t>成立体育与健康学业水平考试工作领导小组，</w:t>
      </w:r>
      <w:r>
        <w:rPr>
          <w:rFonts w:hint="eastAsia" w:eastAsia="仿宋_GB2312"/>
          <w:color w:val="000000" w:themeColor="text1"/>
          <w:kern w:val="15"/>
          <w:sz w:val="32"/>
          <w:szCs w:val="32"/>
        </w:rPr>
        <w:t>制定周全的考试应急预案，预案中必须包含安全应急内容。</w:t>
      </w:r>
      <w:r>
        <w:rPr>
          <w:rFonts w:hint="eastAsia" w:ascii="仿宋_GB2312" w:hAnsi="宋体" w:eastAsia="仿宋_GB2312"/>
          <w:color w:val="000000" w:themeColor="text1"/>
          <w:kern w:val="0"/>
          <w:sz w:val="32"/>
          <w:szCs w:val="32"/>
        </w:rPr>
        <w:t>各学校应当根据本实施办法制定本校高中学生</w:t>
      </w:r>
      <w:r>
        <w:rPr>
          <w:rFonts w:hint="eastAsia" w:ascii="仿宋_GB2312" w:hAnsi="宋体" w:eastAsia="仿宋_GB2312" w:cs="仿宋_GB2312"/>
          <w:color w:val="000000" w:themeColor="text1"/>
          <w:sz w:val="32"/>
          <w:szCs w:val="32"/>
          <w:lang w:val="zh-CN"/>
        </w:rPr>
        <w:t>体育与健康学业水平考试过程性评价实施细则</w:t>
      </w:r>
      <w:r>
        <w:rPr>
          <w:rFonts w:hint="eastAsia" w:ascii="仿宋_GB2312" w:hAnsi="仿宋_GB2312" w:eastAsia="仿宋_GB2312" w:cs="仿宋_GB2312"/>
          <w:color w:val="000000" w:themeColor="text1"/>
          <w:sz w:val="32"/>
          <w:szCs w:val="32"/>
        </w:rPr>
        <w:t>，</w:t>
      </w:r>
      <w:r>
        <w:rPr>
          <w:rFonts w:hint="eastAsia" w:ascii="仿宋_GB2312" w:hAnsi="宋体" w:eastAsia="仿宋_GB2312"/>
          <w:color w:val="000000" w:themeColor="text1"/>
          <w:kern w:val="0"/>
          <w:sz w:val="32"/>
          <w:szCs w:val="32"/>
        </w:rPr>
        <w:t>报区教育行政部门备案。</w:t>
      </w:r>
    </w:p>
    <w:p>
      <w:pPr>
        <w:shd w:val="clear" w:color="auto" w:fill="FFFFFF"/>
        <w:adjustRightInd w:val="0"/>
        <w:snapToGrid w:val="0"/>
        <w:spacing w:line="580" w:lineRule="exact"/>
        <w:ind w:firstLine="643" w:firstLineChars="200"/>
        <w:jc w:val="left"/>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（二）加强教学管理</w:t>
      </w:r>
    </w:p>
    <w:p>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各学校要严格落实</w:t>
      </w:r>
      <w:r>
        <w:rPr>
          <w:rFonts w:hint="eastAsia" w:eastAsia="仿宋_GB2312"/>
          <w:color w:val="000000" w:themeColor="text1"/>
          <w:kern w:val="15"/>
          <w:sz w:val="32"/>
          <w:szCs w:val="32"/>
        </w:rPr>
        <w:t>《普通高中体育与健康课程标准（</w:t>
      </w:r>
      <w:r>
        <w:rPr>
          <w:rFonts w:hint="eastAsia" w:ascii="仿宋_GB2312" w:hAnsi="仿宋_GB2312" w:eastAsia="仿宋_GB2312" w:cs="仿宋_GB2312"/>
          <w:color w:val="000000" w:themeColor="text1"/>
          <w:kern w:val="15"/>
          <w:sz w:val="32"/>
          <w:szCs w:val="32"/>
        </w:rPr>
        <w:t>2017</w:t>
      </w:r>
      <w:r>
        <w:rPr>
          <w:rFonts w:hint="eastAsia" w:eastAsia="仿宋_GB2312"/>
          <w:color w:val="000000" w:themeColor="text1"/>
          <w:kern w:val="15"/>
          <w:sz w:val="32"/>
          <w:szCs w:val="32"/>
        </w:rPr>
        <w:t>年版</w:t>
      </w:r>
      <w:r>
        <w:rPr>
          <w:rFonts w:hint="eastAsia" w:ascii="仿宋_GB2312" w:hAnsi="仿宋_GB2312" w:eastAsia="仿宋_GB2312" w:cs="仿宋_GB2312"/>
          <w:color w:val="000000" w:themeColor="text1"/>
          <w:kern w:val="15"/>
          <w:sz w:val="32"/>
          <w:szCs w:val="32"/>
        </w:rPr>
        <w:t>2020</w:t>
      </w:r>
      <w:r>
        <w:rPr>
          <w:rFonts w:hint="eastAsia" w:eastAsia="仿宋_GB2312"/>
          <w:color w:val="000000" w:themeColor="text1"/>
          <w:kern w:val="15"/>
          <w:sz w:val="32"/>
          <w:szCs w:val="32"/>
        </w:rPr>
        <w:t>年修订）》</w:t>
      </w:r>
      <w:r>
        <w:rPr>
          <w:rFonts w:hint="eastAsia" w:ascii="仿宋_GB2312" w:hAnsi="仿宋_GB2312" w:eastAsia="仿宋_GB2312" w:cs="仿宋_GB2312"/>
          <w:color w:val="000000" w:themeColor="text1"/>
          <w:sz w:val="32"/>
          <w:szCs w:val="32"/>
        </w:rPr>
        <w:t>，合理安排教学进度，严禁压缩课程授课时间，确保开齐开足体育与健康课程。加强体育与健康课程教学改革，将学生在校内开展的课外锻炼纳入教学计划，与体育与健康课堂教学内容相互衔接、互为补充，满足学生体育爱好和特长发展的需求，提高学生专项运动能力。</w:t>
      </w:r>
    </w:p>
    <w:p>
      <w:pPr>
        <w:shd w:val="clear" w:color="auto" w:fill="FFFFFF"/>
        <w:adjustRightInd w:val="0"/>
        <w:snapToGrid w:val="0"/>
        <w:spacing w:line="580" w:lineRule="exact"/>
        <w:ind w:firstLine="643" w:firstLineChars="200"/>
        <w:jc w:val="left"/>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（三）建立结果公示与抽查制度</w:t>
      </w:r>
    </w:p>
    <w:p>
      <w:pPr>
        <w:adjustRightInd w:val="0"/>
        <w:snapToGrid w:val="0"/>
        <w:spacing w:line="580" w:lineRule="exact"/>
        <w:ind w:firstLine="640" w:firstLineChars="200"/>
        <w:rPr>
          <w:rFonts w:ascii="仿宋_GB2312"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学校应当在校内公布学生运动参与、《国家学生体质健康标准》测试、运动技能类项目自主自选项目测试单项成绩和总成绩。</w:t>
      </w:r>
      <w:r>
        <w:rPr>
          <w:rFonts w:hint="eastAsia" w:ascii="仿宋_GB2312" w:hAnsi="宋体" w:eastAsia="仿宋_GB2312"/>
          <w:color w:val="000000" w:themeColor="text1"/>
          <w:kern w:val="0"/>
          <w:sz w:val="32"/>
          <w:szCs w:val="32"/>
        </w:rPr>
        <w:t>市教育局建立抽查通报制度，不断完善监督，不定期对各学校实施情况进行检查。</w:t>
      </w:r>
    </w:p>
    <w:p>
      <w:pPr>
        <w:pStyle w:val="4"/>
        <w:adjustRightInd w:val="0"/>
        <w:snapToGrid w:val="0"/>
        <w:spacing w:line="580" w:lineRule="exact"/>
        <w:ind w:firstLine="0" w:firstLineChars="0"/>
        <w:rPr>
          <w:rFonts w:hAnsi="仿宋_GB2312" w:cs="仿宋_GB2312"/>
          <w:color w:val="000000" w:themeColor="text1"/>
          <w:kern w:val="2"/>
          <w:sz w:val="32"/>
          <w:szCs w:val="32"/>
        </w:rPr>
      </w:pPr>
    </w:p>
    <w:p>
      <w:pPr>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附件：1.深圳市普通高中体育与健康学业水平考试过程性评</w:t>
      </w:r>
    </w:p>
    <w:p>
      <w:pPr>
        <w:spacing w:line="580" w:lineRule="exact"/>
        <w:ind w:firstLine="1808" w:firstLineChars="56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价结果登记表</w:t>
      </w:r>
    </w:p>
    <w:p>
      <w:pPr>
        <w:spacing w:line="580" w:lineRule="exact"/>
        <w:ind w:left="1790" w:leftChars="700" w:hanging="320" w:hangingChars="1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2.深圳市普通高中体育与健康学业水平考试评定结果汇总表</w:t>
      </w:r>
    </w:p>
    <w:p>
      <w:pPr>
        <w:widowControl w:val="0"/>
        <w:spacing w:line="580" w:lineRule="exact"/>
        <w:ind w:left="1790" w:leftChars="700" w:hanging="320" w:hangingChars="1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.深圳市普通高中体育与健康学业水平考试知情同意书</w:t>
      </w:r>
    </w:p>
    <w:p>
      <w:pPr>
        <w:widowControl w:val="0"/>
        <w:spacing w:line="580" w:lineRule="exact"/>
        <w:ind w:left="1790" w:leftChars="700" w:hanging="320" w:hangingChars="100"/>
        <w:jc w:val="left"/>
        <w:rPr>
          <w:rFonts w:ascii="仿宋_GB2312" w:hAnsi="方正小标宋简体" w:eastAsia="仿宋_GB2312" w:cs="方正小标宋简体"/>
          <w:color w:val="000000" w:themeColor="text1"/>
          <w:sz w:val="32"/>
          <w:szCs w:val="32"/>
        </w:rPr>
        <w:sectPr>
          <w:footerReference r:id="rId3" w:type="default"/>
          <w:pgSz w:w="11906" w:h="16838"/>
          <w:pgMar w:top="2098" w:right="1474" w:bottom="1928" w:left="1587" w:header="851" w:footer="1361" w:gutter="0"/>
          <w:pgNumType w:fmt="decimal"/>
          <w:cols w:space="0" w:num="1"/>
          <w:rtlGutter w:val="0"/>
          <w:docGrid w:type="lines" w:linePitch="312" w:charSpace="0"/>
        </w:sectPr>
      </w:pPr>
    </w:p>
    <w:p>
      <w:pPr>
        <w:widowControl/>
        <w:spacing w:line="580" w:lineRule="exact"/>
        <w:jc w:val="left"/>
        <w:rPr>
          <w:rFonts w:ascii="黑体" w:hAnsi="黑体" w:eastAsia="黑体"/>
          <w:color w:val="000000" w:themeColor="text1"/>
          <w:sz w:val="32"/>
          <w:szCs w:val="32"/>
        </w:rPr>
      </w:pPr>
      <w:r>
        <w:rPr>
          <w:rFonts w:ascii="黑体" w:hAnsi="黑体" w:eastAsia="黑体"/>
          <w:color w:val="000000" w:themeColor="text1"/>
          <w:sz w:val="32"/>
          <w:szCs w:val="32"/>
        </w:rPr>
        <w:pict>
          <v:rect id="_x0000_s1026" o:spid="_x0000_s1026" o:spt="1" style="position:absolute;left:0pt;margin-left:599.8pt;margin-top:2pt;height:86.75pt;width:89.6pt;z-index:251658240;mso-width-relative:page;mso-height-relative:page;" coordsize="21600,21600" o:gfxdata="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z5QB2AAAAAsBAAAPAAAAAAAAAAEAIAAAACIAAABkcnMvZG93&#10;bnJldi54bWxQSwECFAAUAAAACACHTuJAOBwAWgACAAAqBAAADgAAAAAAAAABACAAAAAnAQAAZHJz&#10;L2Uyb0RvYy54bWxQSwUGAAAAAAYABgBZAQAAmQUAAAAA&#10;">
            <v:path/>
            <v:fill focussize="0,0"/>
            <v:stroke/>
            <v:imagedata o:title=""/>
            <o:lock v:ext="edit"/>
            <v:textbox>
              <w:txbxContent>
                <w:p/>
                <w:p/>
                <w:p>
                  <w:pPr>
                    <w:ind w:firstLine="420" w:firstLineChars="200"/>
                  </w:pPr>
                  <w:r>
                    <w:rPr>
                      <w:rFonts w:hint="eastAsia"/>
                    </w:rPr>
                    <w:t>考生相片</w:t>
                  </w:r>
                </w:p>
                <w:p>
                  <w:pPr>
                    <w:ind w:firstLine="420" w:firstLineChars="200"/>
                    <w:jc w:val="center"/>
                  </w:pPr>
                  <w:r>
                    <w:rPr>
                      <w:rFonts w:hint="eastAsia"/>
                    </w:rPr>
                    <w:t>（大一寸）</w:t>
                  </w:r>
                </w:p>
              </w:txbxContent>
            </v:textbox>
          </v:rect>
        </w:pict>
      </w:r>
      <w:bookmarkStart w:id="0" w:name="_Hlk18236191"/>
      <w:r>
        <w:rPr>
          <w:rFonts w:hint="eastAsia" w:ascii="黑体" w:hAnsi="黑体" w:eastAsia="黑体"/>
          <w:color w:val="000000" w:themeColor="text1"/>
          <w:sz w:val="32"/>
          <w:szCs w:val="32"/>
        </w:rPr>
        <w:t>附件1</w:t>
      </w:r>
      <w:bookmarkEnd w:id="0"/>
    </w:p>
    <w:p>
      <w:pPr>
        <w:widowControl/>
        <w:spacing w:line="580" w:lineRule="exact"/>
        <w:jc w:val="left"/>
        <w:rPr>
          <w:rFonts w:ascii="黑体" w:hAnsi="黑体" w:eastAsia="黑体"/>
          <w:color w:val="000000" w:themeColor="text1"/>
          <w:sz w:val="32"/>
          <w:szCs w:val="32"/>
        </w:rPr>
      </w:pPr>
    </w:p>
    <w:p>
      <w:pPr>
        <w:widowControl/>
        <w:spacing w:line="580" w:lineRule="exact"/>
        <w:jc w:val="center"/>
        <w:rPr>
          <w:rFonts w:ascii="方正小标宋_GBK" w:hAnsi="黑体" w:eastAsia="方正小标宋_GBK" w:cs="方正小标宋简体"/>
          <w:color w:val="000000" w:themeColor="text1"/>
          <w:sz w:val="44"/>
          <w:szCs w:val="44"/>
        </w:rPr>
      </w:pPr>
      <w:r>
        <w:rPr>
          <w:rFonts w:hint="eastAsia" w:ascii="方正小标宋_GBK" w:hAnsi="黑体" w:eastAsia="方正小标宋_GBK" w:cs="方正小标宋简体"/>
          <w:color w:val="000000" w:themeColor="text1"/>
          <w:sz w:val="44"/>
          <w:szCs w:val="44"/>
        </w:rPr>
        <w:t>深圳市普通高中体育与健康学业水平考试</w:t>
      </w:r>
    </w:p>
    <w:p>
      <w:pPr>
        <w:widowControl/>
        <w:spacing w:line="580" w:lineRule="exact"/>
        <w:jc w:val="center"/>
        <w:rPr>
          <w:rFonts w:ascii="方正小标宋_GBK" w:hAnsi="黑体" w:eastAsia="方正小标宋_GBK" w:cs="方正小标宋简体"/>
          <w:color w:val="000000" w:themeColor="text1"/>
          <w:sz w:val="44"/>
          <w:szCs w:val="44"/>
        </w:rPr>
      </w:pPr>
      <w:r>
        <w:rPr>
          <w:rFonts w:hint="eastAsia" w:ascii="方正小标宋_GBK" w:hAnsi="黑体" w:eastAsia="方正小标宋_GBK" w:cs="方正小标宋简体"/>
          <w:color w:val="000000" w:themeColor="text1"/>
          <w:sz w:val="44"/>
          <w:szCs w:val="44"/>
        </w:rPr>
        <w:t>过程性评价结果登记表</w:t>
      </w:r>
    </w:p>
    <w:p>
      <w:pPr>
        <w:widowControl/>
        <w:spacing w:line="580" w:lineRule="exact"/>
        <w:jc w:val="center"/>
        <w:rPr>
          <w:rFonts w:ascii="方正小标宋_GBK" w:hAnsi="黑体" w:eastAsia="方正小标宋_GBK" w:cs="方正小标宋简体"/>
          <w:color w:val="000000" w:themeColor="text1"/>
          <w:sz w:val="44"/>
          <w:szCs w:val="44"/>
        </w:rPr>
      </w:pPr>
    </w:p>
    <w:p>
      <w:pPr>
        <w:widowControl/>
        <w:spacing w:line="580" w:lineRule="exact"/>
        <w:jc w:val="lef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 xml:space="preserve">学校：                    班级：                                                        </w:t>
      </w:r>
    </w:p>
    <w:tbl>
      <w:tblPr>
        <w:tblStyle w:val="9"/>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583"/>
        <w:gridCol w:w="100"/>
        <w:gridCol w:w="768"/>
        <w:gridCol w:w="189"/>
        <w:gridCol w:w="730"/>
        <w:gridCol w:w="909"/>
        <w:gridCol w:w="910"/>
        <w:gridCol w:w="730"/>
        <w:gridCol w:w="672"/>
        <w:gridCol w:w="305"/>
        <w:gridCol w:w="604"/>
        <w:gridCol w:w="706"/>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9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学籍号</w:t>
            </w:r>
          </w:p>
        </w:tc>
        <w:tc>
          <w:tcPr>
            <w:tcW w:w="164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考生姓名</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性别</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7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考生</w:t>
            </w:r>
          </w:p>
          <w:p>
            <w:pPr>
              <w:widowControl/>
              <w:spacing w:line="580" w:lineRule="exact"/>
              <w:jc w:val="left"/>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类别</w:t>
            </w:r>
          </w:p>
        </w:tc>
        <w:tc>
          <w:tcPr>
            <w:tcW w:w="2084"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学年</w:t>
            </w:r>
          </w:p>
        </w:tc>
        <w:tc>
          <w:tcPr>
            <w:tcW w:w="68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学期</w:t>
            </w:r>
          </w:p>
        </w:tc>
        <w:tc>
          <w:tcPr>
            <w:tcW w:w="4908" w:type="dxa"/>
            <w:gridSpan w:val="7"/>
            <w:tcBorders>
              <w:top w:val="single" w:color="000000" w:sz="4" w:space="0"/>
              <w:left w:val="single" w:color="000000" w:sz="4" w:space="0"/>
              <w:bottom w:val="single" w:color="auto"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运动参与</w:t>
            </w:r>
          </w:p>
        </w:tc>
        <w:tc>
          <w:tcPr>
            <w:tcW w:w="909"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体质健康测试</w:t>
            </w:r>
          </w:p>
        </w:tc>
        <w:tc>
          <w:tcPr>
            <w:tcW w:w="706"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教师签名</w:t>
            </w:r>
          </w:p>
        </w:tc>
        <w:tc>
          <w:tcPr>
            <w:tcW w:w="774" w:type="dxa"/>
            <w:vMerge w:val="restart"/>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考生确认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68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68" w:type="dxa"/>
            <w:tcBorders>
              <w:top w:val="single" w:color="auto"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课堂学习</w:t>
            </w:r>
          </w:p>
        </w:tc>
        <w:tc>
          <w:tcPr>
            <w:tcW w:w="919" w:type="dxa"/>
            <w:gridSpan w:val="2"/>
            <w:tcBorders>
              <w:top w:val="single" w:color="auto" w:sz="4" w:space="0"/>
              <w:left w:val="single" w:color="auto"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大课间体育活动</w:t>
            </w:r>
          </w:p>
        </w:tc>
        <w:tc>
          <w:tcPr>
            <w:tcW w:w="909" w:type="dxa"/>
            <w:tcBorders>
              <w:top w:val="single" w:color="auto"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课外体育活动</w:t>
            </w:r>
          </w:p>
        </w:tc>
        <w:tc>
          <w:tcPr>
            <w:tcW w:w="910" w:type="dxa"/>
            <w:tcBorders>
              <w:top w:val="single" w:color="auto"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健康</w:t>
            </w:r>
          </w:p>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宋体" w:eastAsia="仿宋_GB2312"/>
                <w:color w:val="000000" w:themeColor="text1"/>
              </w:rPr>
              <w:t>行为</w:t>
            </w:r>
          </w:p>
        </w:tc>
        <w:tc>
          <w:tcPr>
            <w:tcW w:w="730" w:type="dxa"/>
            <w:tcBorders>
              <w:top w:val="single" w:color="auto"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宋体" w:eastAsia="仿宋_GB2312"/>
                <w:color w:val="000000" w:themeColor="text1"/>
              </w:rPr>
              <w:t>体育品德</w:t>
            </w:r>
          </w:p>
        </w:tc>
        <w:tc>
          <w:tcPr>
            <w:tcW w:w="672" w:type="dxa"/>
            <w:tcBorders>
              <w:top w:val="single" w:color="auto"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结果</w:t>
            </w:r>
          </w:p>
        </w:tc>
        <w:tc>
          <w:tcPr>
            <w:tcW w:w="909" w:type="dxa"/>
            <w:gridSpan w:val="2"/>
            <w:tcBorders>
              <w:top w:val="single" w:color="auto"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结果</w:t>
            </w:r>
          </w:p>
        </w:tc>
        <w:tc>
          <w:tcPr>
            <w:tcW w:w="706" w:type="dxa"/>
            <w:vMerge w:val="continue"/>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74" w:type="dxa"/>
            <w:vMerge w:val="continue"/>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第一</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1</w:t>
            </w:r>
          </w:p>
        </w:tc>
        <w:tc>
          <w:tcPr>
            <w:tcW w:w="768"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9" w:type="dxa"/>
            <w:gridSpan w:val="2"/>
            <w:tcBorders>
              <w:top w:val="single" w:color="000000" w:sz="4" w:space="0"/>
              <w:left w:val="single" w:color="auto"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672"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06"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74"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2</w:t>
            </w:r>
          </w:p>
        </w:tc>
        <w:tc>
          <w:tcPr>
            <w:tcW w:w="768"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9" w:type="dxa"/>
            <w:gridSpan w:val="2"/>
            <w:tcBorders>
              <w:top w:val="single" w:color="000000" w:sz="4" w:space="0"/>
              <w:left w:val="single" w:color="auto"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672"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06"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74"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第二</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1</w:t>
            </w:r>
          </w:p>
        </w:tc>
        <w:tc>
          <w:tcPr>
            <w:tcW w:w="768"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9" w:type="dxa"/>
            <w:gridSpan w:val="2"/>
            <w:tcBorders>
              <w:top w:val="single" w:color="000000" w:sz="4" w:space="0"/>
              <w:left w:val="single" w:color="auto"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672"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06"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74"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2</w:t>
            </w:r>
          </w:p>
        </w:tc>
        <w:tc>
          <w:tcPr>
            <w:tcW w:w="768"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9" w:type="dxa"/>
            <w:gridSpan w:val="2"/>
            <w:tcBorders>
              <w:top w:val="single" w:color="000000" w:sz="4" w:space="0"/>
              <w:left w:val="single" w:color="auto"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672"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06"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74"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第三</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1</w:t>
            </w:r>
          </w:p>
        </w:tc>
        <w:tc>
          <w:tcPr>
            <w:tcW w:w="768"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9" w:type="dxa"/>
            <w:gridSpan w:val="2"/>
            <w:tcBorders>
              <w:top w:val="single" w:color="000000" w:sz="4" w:space="0"/>
              <w:left w:val="single" w:color="auto"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672"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06"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74"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2</w:t>
            </w:r>
          </w:p>
        </w:tc>
        <w:tc>
          <w:tcPr>
            <w:tcW w:w="768"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9" w:type="dxa"/>
            <w:gridSpan w:val="2"/>
            <w:tcBorders>
              <w:top w:val="single" w:color="000000" w:sz="4" w:space="0"/>
              <w:left w:val="single" w:color="auto"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672"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09"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06"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74"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1544"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综合评价结果</w:t>
            </w:r>
          </w:p>
        </w:tc>
        <w:tc>
          <w:tcPr>
            <w:tcW w:w="868" w:type="dxa"/>
            <w:gridSpan w:val="2"/>
            <w:tcBorders>
              <w:top w:val="single" w:color="000000" w:sz="4" w:space="0"/>
              <w:left w:val="single" w:color="auto"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19"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考生签名</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教师</w:t>
            </w:r>
          </w:p>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签名</w:t>
            </w:r>
          </w:p>
        </w:tc>
        <w:tc>
          <w:tcPr>
            <w:tcW w:w="730"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672"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学校</w:t>
            </w:r>
          </w:p>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确认</w:t>
            </w:r>
          </w:p>
        </w:tc>
        <w:tc>
          <w:tcPr>
            <w:tcW w:w="238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（盖章）</w:t>
            </w:r>
          </w:p>
        </w:tc>
      </w:tr>
    </w:tbl>
    <w:p>
      <w:pPr>
        <w:widowControl/>
        <w:spacing w:line="580" w:lineRule="exact"/>
        <w:jc w:val="left"/>
        <w:rPr>
          <w:rFonts w:ascii="仿宋_GB2312" w:hAnsi="方正小标宋简体" w:eastAsia="仿宋_GB2312" w:cs="方正小标宋简体"/>
          <w:color w:val="000000" w:themeColor="text1"/>
          <w:sz w:val="32"/>
          <w:szCs w:val="32"/>
        </w:rPr>
      </w:pPr>
    </w:p>
    <w:p>
      <w:pPr>
        <w:widowControl/>
        <w:spacing w:line="580" w:lineRule="exact"/>
        <w:jc w:val="left"/>
        <w:rPr>
          <w:rFonts w:ascii="仿宋_GB2312" w:hAnsi="方正小标宋简体" w:eastAsia="仿宋_GB2312" w:cs="方正小标宋简体"/>
          <w:color w:val="000000" w:themeColor="text1"/>
          <w:sz w:val="32"/>
          <w:szCs w:val="32"/>
        </w:rPr>
        <w:sectPr>
          <w:pgSz w:w="11906" w:h="16838"/>
          <w:pgMar w:top="1440" w:right="1797" w:bottom="1440" w:left="1797" w:header="851" w:footer="992" w:gutter="0"/>
          <w:pgNumType w:fmt="decimal"/>
          <w:cols w:space="720" w:num="1"/>
          <w:docGrid w:type="lines" w:linePitch="312" w:charSpace="0"/>
        </w:sectPr>
      </w:pPr>
    </w:p>
    <w:p>
      <w:pPr>
        <w:widowControl/>
        <w:spacing w:line="580" w:lineRule="exact"/>
        <w:jc w:val="left"/>
        <w:rPr>
          <w:rFonts w:ascii="黑体" w:hAnsi="黑体" w:eastAsia="黑体"/>
          <w:color w:val="000000" w:themeColor="text1"/>
          <w:sz w:val="32"/>
          <w:szCs w:val="32"/>
        </w:rPr>
      </w:pPr>
      <w:r>
        <w:rPr>
          <w:rFonts w:hint="eastAsia" w:ascii="黑体" w:hAnsi="黑体" w:eastAsia="黑体"/>
          <w:color w:val="000000" w:themeColor="text1"/>
          <w:sz w:val="32"/>
          <w:szCs w:val="32"/>
        </w:rPr>
        <w:t>附件2</w:t>
      </w:r>
    </w:p>
    <w:p>
      <w:pPr>
        <w:widowControl/>
        <w:spacing w:line="580" w:lineRule="exact"/>
        <w:jc w:val="left"/>
        <w:rPr>
          <w:rFonts w:ascii="黑体" w:hAnsi="黑体" w:eastAsia="黑体"/>
          <w:color w:val="000000" w:themeColor="text1"/>
          <w:sz w:val="32"/>
          <w:szCs w:val="32"/>
        </w:rPr>
      </w:pPr>
    </w:p>
    <w:p>
      <w:pPr>
        <w:widowControl/>
        <w:spacing w:line="580" w:lineRule="exact"/>
        <w:jc w:val="center"/>
        <w:rPr>
          <w:rFonts w:ascii="方正小标宋_GBK" w:hAnsi="黑体" w:eastAsia="方正小标宋_GBK" w:cs="方正小标宋简体"/>
          <w:color w:val="000000" w:themeColor="text1"/>
          <w:sz w:val="44"/>
          <w:szCs w:val="44"/>
        </w:rPr>
      </w:pPr>
      <w:r>
        <w:rPr>
          <w:rFonts w:hint="eastAsia" w:ascii="方正小标宋_GBK" w:hAnsi="黑体" w:eastAsia="方正小标宋_GBK" w:cs="方正小标宋简体"/>
          <w:color w:val="000000" w:themeColor="text1"/>
          <w:sz w:val="44"/>
          <w:szCs w:val="44"/>
        </w:rPr>
        <w:t>深圳市普通高中体育与健康学业水平考试</w:t>
      </w:r>
    </w:p>
    <w:p>
      <w:pPr>
        <w:widowControl/>
        <w:spacing w:line="580" w:lineRule="exact"/>
        <w:jc w:val="center"/>
        <w:rPr>
          <w:rFonts w:ascii="方正小标宋_GBK" w:hAnsi="黑体" w:eastAsia="方正小标宋_GBK" w:cs="方正小标宋简体"/>
          <w:color w:val="000000" w:themeColor="text1"/>
          <w:sz w:val="44"/>
          <w:szCs w:val="44"/>
        </w:rPr>
      </w:pPr>
      <w:r>
        <w:rPr>
          <w:rFonts w:hint="eastAsia" w:ascii="方正小标宋_GBK" w:hAnsi="黑体" w:eastAsia="方正小标宋_GBK" w:cs="方正小标宋简体"/>
          <w:color w:val="000000" w:themeColor="text1"/>
          <w:sz w:val="44"/>
          <w:szCs w:val="44"/>
        </w:rPr>
        <w:t>成绩评定结果汇总表</w:t>
      </w:r>
    </w:p>
    <w:p>
      <w:pPr>
        <w:widowControl/>
        <w:spacing w:line="580" w:lineRule="exact"/>
        <w:jc w:val="center"/>
        <w:rPr>
          <w:rFonts w:ascii="方正小标宋_GBK" w:hAnsi="黑体" w:eastAsia="方正小标宋_GBK" w:cs="方正小标宋简体"/>
          <w:color w:val="000000" w:themeColor="text1"/>
          <w:sz w:val="44"/>
          <w:szCs w:val="44"/>
        </w:rPr>
      </w:pPr>
    </w:p>
    <w:p>
      <w:pPr>
        <w:widowControl/>
        <w:spacing w:line="580" w:lineRule="exact"/>
        <w:jc w:val="lef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 xml:space="preserve">学校：                年级：        评定时间： </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957"/>
        <w:gridCol w:w="567"/>
        <w:gridCol w:w="1560"/>
        <w:gridCol w:w="1559"/>
        <w:gridCol w:w="11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学籍号</w:t>
            </w:r>
          </w:p>
        </w:tc>
        <w:tc>
          <w:tcPr>
            <w:tcW w:w="9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姓名</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性别</w:t>
            </w:r>
          </w:p>
        </w:tc>
        <w:tc>
          <w:tcPr>
            <w:tcW w:w="557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过程性评价</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运动技能测试</w:t>
            </w: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综合评定</w:t>
            </w:r>
          </w:p>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体质测试</w:t>
            </w:r>
          </w:p>
        </w:tc>
        <w:tc>
          <w:tcPr>
            <w:tcW w:w="1326"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最终成绩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bookmarkStart w:id="1" w:name="_Hlk18236080"/>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26"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26"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26"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26"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26"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bookmarkEnd w:id="1"/>
    </w:tbl>
    <w:p>
      <w:pPr>
        <w:widowControl/>
        <w:spacing w:line="580" w:lineRule="exact"/>
        <w:jc w:val="left"/>
        <w:rPr>
          <w:rFonts w:ascii="仿宋_GB2312" w:hAnsi="方正小标宋简体" w:eastAsia="仿宋_GB2312" w:cs="方正小标宋简体"/>
          <w:color w:val="000000" w:themeColor="text1"/>
          <w:sz w:val="28"/>
          <w:szCs w:val="28"/>
        </w:rPr>
      </w:pPr>
    </w:p>
    <w:p>
      <w:pPr>
        <w:widowControl/>
        <w:spacing w:line="580" w:lineRule="exact"/>
        <w:jc w:val="lef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评定人签名：                              学校确认（盖章）</w:t>
      </w:r>
    </w:p>
    <w:p>
      <w:pPr>
        <w:widowControl/>
        <w:spacing w:line="580" w:lineRule="exact"/>
        <w:jc w:val="left"/>
        <w:rPr>
          <w:rFonts w:ascii="仿宋_GB2312" w:hAnsi="方正小标宋简体" w:eastAsia="仿宋_GB2312" w:cs="方正小标宋简体"/>
          <w:color w:val="000000" w:themeColor="text1"/>
          <w:sz w:val="32"/>
          <w:szCs w:val="32"/>
        </w:rPr>
      </w:pPr>
      <w:r>
        <w:rPr>
          <w:rFonts w:hint="eastAsia" w:ascii="仿宋_GB2312" w:hAnsi="方正小标宋简体" w:eastAsia="仿宋_GB2312" w:cs="方正小标宋简体"/>
          <w:color w:val="000000" w:themeColor="text1"/>
          <w:sz w:val="32"/>
          <w:szCs w:val="32"/>
        </w:rPr>
        <w:t xml:space="preserve">   年  月  日                          年   月  日</w:t>
      </w:r>
    </w:p>
    <w:p>
      <w:pPr>
        <w:widowControl/>
        <w:spacing w:line="580" w:lineRule="exact"/>
        <w:jc w:val="left"/>
        <w:rPr>
          <w:rFonts w:ascii="仿宋_GB2312" w:hAnsi="方正小标宋简体" w:eastAsia="仿宋_GB2312" w:cs="方正小标宋简体"/>
          <w:color w:val="000000" w:themeColor="text1"/>
          <w:sz w:val="32"/>
          <w:szCs w:val="32"/>
        </w:rPr>
      </w:pPr>
    </w:p>
    <w:p>
      <w:pPr>
        <w:widowControl/>
        <w:spacing w:line="580" w:lineRule="exact"/>
        <w:jc w:val="left"/>
        <w:rPr>
          <w:rFonts w:ascii="黑体" w:hAnsi="黑体" w:eastAsia="黑体"/>
          <w:color w:val="000000" w:themeColor="text1"/>
          <w:sz w:val="32"/>
          <w:szCs w:val="32"/>
        </w:rPr>
      </w:pPr>
      <w:r>
        <w:rPr>
          <w:rFonts w:hint="eastAsia" w:ascii="仿宋_GB2312" w:hAnsi="方正小标宋简体" w:eastAsia="仿宋_GB2312" w:cs="方正小标宋简体"/>
          <w:color w:val="000000" w:themeColor="text1"/>
          <w:sz w:val="32"/>
          <w:szCs w:val="32"/>
        </w:rPr>
        <w:br w:type="page"/>
      </w:r>
      <w:bookmarkStart w:id="2" w:name="_Hlk18238546"/>
      <w:bookmarkStart w:id="3" w:name="_Hlk18232997"/>
      <w:r>
        <w:rPr>
          <w:rFonts w:hint="eastAsia" w:ascii="黑体" w:hAnsi="黑体" w:eastAsia="黑体"/>
          <w:color w:val="000000" w:themeColor="text1"/>
          <w:sz w:val="32"/>
          <w:szCs w:val="32"/>
        </w:rPr>
        <w:t>附件3</w:t>
      </w:r>
    </w:p>
    <w:p>
      <w:pPr>
        <w:snapToGrid w:val="0"/>
        <w:spacing w:line="580" w:lineRule="exact"/>
        <w:jc w:val="center"/>
        <w:rPr>
          <w:rFonts w:ascii="方正小标宋_GBK" w:hAnsi="The" w:eastAsia="方正小标宋_GBK"/>
          <w:bCs/>
          <w:color w:val="000000" w:themeColor="text1"/>
          <w:sz w:val="44"/>
          <w:szCs w:val="44"/>
        </w:rPr>
      </w:pPr>
      <w:r>
        <w:rPr>
          <w:rFonts w:hint="eastAsia" w:ascii="方正小标宋_GBK" w:hAnsi="The" w:eastAsia="方正小标宋_GBK"/>
          <w:bCs/>
          <w:color w:val="000000" w:themeColor="text1"/>
          <w:sz w:val="44"/>
          <w:szCs w:val="44"/>
        </w:rPr>
        <w:t>深圳市普通高中体育与健康学业水平</w:t>
      </w:r>
    </w:p>
    <w:p>
      <w:pPr>
        <w:snapToGrid w:val="0"/>
        <w:spacing w:line="580" w:lineRule="exact"/>
        <w:jc w:val="center"/>
        <w:rPr>
          <w:rFonts w:ascii="方正小标宋_GBK" w:hAnsi="The" w:eastAsia="方正小标宋_GBK"/>
          <w:bCs/>
          <w:color w:val="000000" w:themeColor="text1"/>
          <w:sz w:val="44"/>
          <w:szCs w:val="44"/>
        </w:rPr>
      </w:pPr>
      <w:r>
        <w:rPr>
          <w:rFonts w:hint="eastAsia" w:ascii="方正小标宋_GBK" w:hAnsi="The" w:eastAsia="方正小标宋_GBK"/>
          <w:bCs/>
          <w:color w:val="000000" w:themeColor="text1"/>
          <w:sz w:val="44"/>
          <w:szCs w:val="44"/>
        </w:rPr>
        <w:t>考试知情同意书</w:t>
      </w:r>
    </w:p>
    <w:bookmarkEnd w:id="2"/>
    <w:bookmarkEnd w:id="3"/>
    <w:p>
      <w:pPr>
        <w:widowControl/>
        <w:snapToGrid w:val="0"/>
        <w:spacing w:line="300" w:lineRule="exact"/>
        <w:jc w:val="left"/>
        <w:rPr>
          <w:rFonts w:ascii="The" w:hAnsi="The"/>
          <w:color w:val="000000" w:themeColor="text1"/>
          <w:kern w:val="0"/>
          <w:sz w:val="24"/>
        </w:rPr>
      </w:pPr>
      <w:r>
        <w:rPr>
          <w:rFonts w:hint="eastAsia" w:ascii="The" w:hAnsi="The" w:eastAsia="仿宋_GB2312"/>
          <w:color w:val="000000" w:themeColor="text1"/>
          <w:kern w:val="0"/>
          <w:sz w:val="24"/>
        </w:rPr>
        <w:t>家长：</w:t>
      </w:r>
    </w:p>
    <w:p>
      <w:pPr>
        <w:widowControl/>
        <w:snapToGrid w:val="0"/>
        <w:spacing w:line="300" w:lineRule="exact"/>
        <w:ind w:firstLine="560"/>
        <w:jc w:val="left"/>
        <w:rPr>
          <w:rFonts w:ascii="The" w:hAnsi="The" w:eastAsia="仿宋_GB2312"/>
          <w:color w:val="000000" w:themeColor="text1"/>
          <w:kern w:val="0"/>
          <w:sz w:val="24"/>
        </w:rPr>
      </w:pPr>
      <w:r>
        <w:rPr>
          <w:rFonts w:hint="eastAsia" w:ascii="The" w:hAnsi="The" w:eastAsia="仿宋_GB2312"/>
          <w:color w:val="000000" w:themeColor="text1"/>
          <w:kern w:val="0"/>
          <w:sz w:val="24"/>
        </w:rPr>
        <w:t>您好！</w:t>
      </w:r>
    </w:p>
    <w:p>
      <w:pPr>
        <w:widowControl/>
        <w:snapToGrid w:val="0"/>
        <w:spacing w:line="300" w:lineRule="exact"/>
        <w:ind w:firstLine="560"/>
        <w:jc w:val="left"/>
        <w:rPr>
          <w:rFonts w:hint="eastAsia" w:ascii="The" w:hAnsi="The" w:eastAsia="仿宋_GB2312"/>
          <w:color w:val="000000" w:themeColor="text1"/>
          <w:kern w:val="0"/>
          <w:sz w:val="24"/>
        </w:rPr>
      </w:pPr>
      <w:r>
        <w:rPr>
          <w:rFonts w:hint="eastAsia" w:ascii="The" w:hAnsi="The" w:eastAsia="仿宋_GB2312"/>
          <w:color w:val="000000" w:themeColor="text1"/>
          <w:kern w:val="0"/>
          <w:sz w:val="24"/>
        </w:rPr>
        <w:t>您的孩子将于</w:t>
      </w:r>
      <w:r>
        <w:rPr>
          <w:rFonts w:ascii="The" w:hAnsi="The" w:eastAsia="仿宋_GB2312"/>
          <w:color w:val="000000" w:themeColor="text1"/>
          <w:kern w:val="0"/>
          <w:sz w:val="24"/>
          <w:u w:val="single"/>
        </w:rPr>
        <w:t xml:space="preserve">    </w:t>
      </w:r>
      <w:r>
        <w:rPr>
          <w:rFonts w:hint="eastAsia" w:ascii="The" w:hAnsi="The" w:eastAsia="仿宋_GB2312"/>
          <w:color w:val="000000" w:themeColor="text1"/>
          <w:kern w:val="0"/>
          <w:sz w:val="24"/>
        </w:rPr>
        <w:t>年</w:t>
      </w:r>
      <w:r>
        <w:rPr>
          <w:rFonts w:ascii="The" w:hAnsi="The" w:eastAsia="仿宋_GB2312"/>
          <w:color w:val="000000" w:themeColor="text1"/>
          <w:kern w:val="0"/>
          <w:sz w:val="24"/>
          <w:u w:val="single"/>
        </w:rPr>
        <w:t xml:space="preserve">     </w:t>
      </w:r>
      <w:r>
        <w:rPr>
          <w:rFonts w:hint="eastAsia" w:ascii="The" w:hAnsi="The" w:eastAsia="仿宋_GB2312"/>
          <w:color w:val="000000" w:themeColor="text1"/>
          <w:kern w:val="0"/>
          <w:sz w:val="24"/>
        </w:rPr>
        <w:t>期间参加深圳市普通高中体育与健康学业水平考试。为了让孩子在不影响身体健康的情况下取得优异成绩，请您配合学校合理安排孩子的学习及身体锻炼时间。同时，请家长特别注意：孩子在参加体育测试前必须配合学校及教育行政部门组织的医务审核工作，坚决不允许身体不健康的孩子参加体育测试。如您的孩子患有器质性心脏血管病（先天性心脏病、风湿性心脏病、心肌炎）、高血压、结核病、支气管扩张、哮喘、急慢性肝炎、急慢性肾炎、各种恶性肿瘤、各种结缔组织疾病、精神病、癫痫、类风湿病、慢性骨髓炎、各种血液疾病，</w:t>
      </w:r>
      <w:r>
        <w:rPr>
          <w:rFonts w:hint="eastAsia" w:ascii="The" w:hAnsi="The" w:eastAsia="仿宋_GB2312"/>
          <w:color w:val="000000" w:themeColor="text1"/>
          <w:sz w:val="24"/>
        </w:rPr>
        <w:t>身体残疾、发育异常、营养不良、肥胖症、畸形</w:t>
      </w:r>
      <w:r>
        <w:rPr>
          <w:rFonts w:hint="eastAsia" w:ascii="The" w:hAnsi="The" w:eastAsia="仿宋_GB2312"/>
          <w:color w:val="000000" w:themeColor="text1"/>
          <w:kern w:val="0"/>
          <w:sz w:val="24"/>
        </w:rPr>
        <w:t>大于或等于</w:t>
      </w:r>
      <w:r>
        <w:rPr>
          <w:rFonts w:hint="eastAsia" w:ascii="宋体" w:hAnsi="宋体"/>
          <w:color w:val="000000" w:themeColor="text1"/>
          <w:kern w:val="0"/>
          <w:sz w:val="24"/>
        </w:rPr>
        <w:t>Ⅱ</w:t>
      </w:r>
      <w:r>
        <w:rPr>
          <w:rFonts w:hint="eastAsia" w:ascii="The" w:hAnsi="The" w:eastAsia="仿宋_GB2312"/>
          <w:color w:val="000000" w:themeColor="text1"/>
          <w:kern w:val="0"/>
          <w:sz w:val="24"/>
        </w:rPr>
        <w:t>度及其他不适合长跑剧烈运动的疾病及隐匿性疾病，处于各种外科手术恢复期，可按相关程序申请免考或择考。如故意隐瞒孩子患病情况执意参加体育测试，一切后果自负。因此，请您根据孩子健康状况，如实填写孩子能否参加体育测试的明确意见，并将此意见送交学校存档。</w:t>
      </w:r>
    </w:p>
    <w:p>
      <w:pPr>
        <w:widowControl/>
        <w:snapToGrid w:val="0"/>
        <w:spacing w:line="300" w:lineRule="exact"/>
        <w:jc w:val="left"/>
        <w:rPr>
          <w:rFonts w:ascii="The" w:hAnsi="The" w:eastAsia="仿宋_GB2312"/>
          <w:color w:val="000000" w:themeColor="text1"/>
          <w:kern w:val="0"/>
          <w:sz w:val="28"/>
          <w:szCs w:val="28"/>
          <w:u w:val="dash"/>
        </w:rPr>
      </w:pPr>
      <w:r>
        <w:rPr>
          <w:rFonts w:ascii="The" w:hAnsi="The" w:eastAsia="仿宋_GB2312"/>
          <w:color w:val="000000" w:themeColor="text1"/>
          <w:kern w:val="0"/>
          <w:sz w:val="28"/>
          <w:szCs w:val="28"/>
          <w:u w:val="dash"/>
        </w:rPr>
        <w:t xml:space="preserve">                                                                 </w:t>
      </w:r>
    </w:p>
    <w:p>
      <w:pPr>
        <w:widowControl/>
        <w:snapToGrid w:val="0"/>
        <w:spacing w:line="580" w:lineRule="exact"/>
        <w:jc w:val="left"/>
        <w:rPr>
          <w:rFonts w:ascii="The" w:hAnsi="The" w:eastAsia="仿宋_GB2312"/>
          <w:color w:val="000000" w:themeColor="text1"/>
          <w:kern w:val="0"/>
          <w:sz w:val="28"/>
          <w:szCs w:val="28"/>
          <w:u w:val="dash"/>
        </w:rPr>
      </w:pPr>
    </w:p>
    <w:tbl>
      <w:tblPr>
        <w:tblStyle w:val="9"/>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319"/>
        <w:gridCol w:w="949"/>
        <w:gridCol w:w="418"/>
        <w:gridCol w:w="432"/>
        <w:gridCol w:w="2268"/>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r>
              <w:rPr>
                <w:rFonts w:hint="eastAsia" w:ascii="The" w:hAnsi="The" w:eastAsia="仿宋_GB2312"/>
                <w:color w:val="000000" w:themeColor="text1"/>
                <w:sz w:val="24"/>
              </w:rPr>
              <w:t>学校名称</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r>
              <w:rPr>
                <w:rFonts w:hint="eastAsia" w:ascii="The" w:hAnsi="The" w:eastAsia="仿宋_GB2312"/>
                <w:color w:val="000000" w:themeColor="text1"/>
                <w:sz w:val="24"/>
              </w:rPr>
              <w:t>班级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p>
        </w:tc>
        <w:tc>
          <w:tcPr>
            <w:tcW w:w="1973"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r>
              <w:rPr>
                <w:rFonts w:hint="eastAsia" w:ascii="The" w:hAnsi="The" w:eastAsia="仿宋_GB2312"/>
                <w:color w:val="000000" w:themeColor="text1"/>
                <w:sz w:val="24"/>
              </w:rPr>
              <w:t>贴大一寸相片</w:t>
            </w:r>
          </w:p>
          <w:p>
            <w:pPr>
              <w:spacing w:line="580" w:lineRule="exact"/>
              <w:jc w:val="center"/>
              <w:rPr>
                <w:rFonts w:ascii="The" w:hAnsi="The" w:eastAsia="仿宋_GB2312"/>
                <w:color w:val="000000" w:themeColor="text1"/>
                <w:sz w:val="24"/>
              </w:rPr>
            </w:pPr>
            <w:r>
              <w:rPr>
                <w:rFonts w:hint="eastAsia" w:ascii="The" w:hAnsi="The" w:eastAsia="仿宋_GB2312"/>
                <w:color w:val="000000" w:themeColor="text1"/>
                <w:sz w:val="24"/>
              </w:rPr>
              <w:t>（学校盖章）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r>
              <w:rPr>
                <w:rFonts w:hint="eastAsia" w:ascii="The" w:hAnsi="The" w:eastAsia="仿宋_GB2312"/>
                <w:color w:val="000000" w:themeColor="text1"/>
                <w:sz w:val="24"/>
              </w:rPr>
              <w:t>学生姓名</w:t>
            </w:r>
          </w:p>
        </w:tc>
        <w:tc>
          <w:tcPr>
            <w:tcW w:w="131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r>
              <w:rPr>
                <w:rFonts w:hint="eastAsia" w:ascii="The" w:hAnsi="The" w:eastAsia="仿宋_GB2312"/>
                <w:color w:val="000000" w:themeColor="text1"/>
                <w:sz w:val="24"/>
              </w:rPr>
              <w:t>准考证号</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p>
        </w:tc>
        <w:tc>
          <w:tcPr>
            <w:tcW w:w="19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The" w:hAnsi="The"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r>
              <w:rPr>
                <w:rFonts w:hint="eastAsia" w:ascii="The" w:hAnsi="The" w:eastAsia="仿宋_GB2312"/>
                <w:color w:val="000000" w:themeColor="text1"/>
                <w:sz w:val="24"/>
              </w:rPr>
              <w:t>学生承诺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ind w:firstLine="480" w:firstLineChars="200"/>
              <w:rPr>
                <w:rFonts w:ascii="The" w:hAnsi="The" w:eastAsia="仿宋_GB2312"/>
                <w:color w:val="000000" w:themeColor="text1"/>
                <w:sz w:val="24"/>
              </w:rPr>
            </w:pPr>
            <w:r>
              <w:rPr>
                <w:rFonts w:hint="eastAsia" w:ascii="The" w:hAnsi="The" w:eastAsia="仿宋_GB2312"/>
                <w:color w:val="000000" w:themeColor="text1"/>
                <w:sz w:val="24"/>
              </w:rPr>
              <w:t>本人身体健康状况（</w:t>
            </w:r>
            <w:r>
              <w:rPr>
                <w:rFonts w:ascii="The" w:hAnsi="The" w:eastAsia="仿宋_GB2312"/>
                <w:color w:val="000000" w:themeColor="text1"/>
                <w:sz w:val="24"/>
              </w:rPr>
              <w:sym w:font="Wingdings" w:char="00A8"/>
            </w:r>
            <w:r>
              <w:rPr>
                <w:rFonts w:hint="eastAsia" w:ascii="The" w:hAnsi="The" w:eastAsia="仿宋_GB2312"/>
                <w:color w:val="000000" w:themeColor="text1"/>
                <w:sz w:val="24"/>
              </w:rPr>
              <w:t>符合</w:t>
            </w:r>
            <w:r>
              <w:rPr>
                <w:rFonts w:ascii="The" w:hAnsi="The" w:eastAsia="仿宋_GB2312"/>
                <w:color w:val="000000" w:themeColor="text1"/>
                <w:sz w:val="24"/>
              </w:rPr>
              <w:t>/</w:t>
            </w:r>
            <w:r>
              <w:rPr>
                <w:rFonts w:ascii="The" w:hAnsi="The" w:eastAsia="仿宋_GB2312"/>
                <w:color w:val="000000" w:themeColor="text1"/>
                <w:sz w:val="24"/>
              </w:rPr>
              <w:sym w:font="Wingdings" w:char="00A8"/>
            </w:r>
            <w:r>
              <w:rPr>
                <w:rFonts w:hint="eastAsia" w:ascii="The" w:hAnsi="The" w:eastAsia="仿宋_GB2312"/>
                <w:color w:val="000000" w:themeColor="text1"/>
                <w:sz w:val="24"/>
              </w:rPr>
              <w:t>不符合）测试要求，（</w:t>
            </w:r>
            <w:r>
              <w:rPr>
                <w:rFonts w:ascii="The" w:hAnsi="The" w:eastAsia="仿宋_GB2312"/>
                <w:color w:val="000000" w:themeColor="text1"/>
                <w:sz w:val="24"/>
              </w:rPr>
              <w:sym w:font="Wingdings" w:char="00A8"/>
            </w:r>
            <w:r>
              <w:rPr>
                <w:rFonts w:hint="eastAsia" w:ascii="The" w:hAnsi="The" w:eastAsia="仿宋_GB2312"/>
                <w:color w:val="000000" w:themeColor="text1"/>
                <w:sz w:val="24"/>
              </w:rPr>
              <w:t>能</w:t>
            </w:r>
            <w:r>
              <w:rPr>
                <w:rFonts w:ascii="The" w:hAnsi="The" w:eastAsia="仿宋_GB2312"/>
                <w:color w:val="000000" w:themeColor="text1"/>
                <w:sz w:val="24"/>
              </w:rPr>
              <w:t>/</w:t>
            </w:r>
            <w:r>
              <w:rPr>
                <w:rFonts w:ascii="The" w:hAnsi="The" w:eastAsia="仿宋_GB2312"/>
                <w:color w:val="000000" w:themeColor="text1"/>
                <w:sz w:val="24"/>
              </w:rPr>
              <w:sym w:font="Wingdings" w:char="00A8"/>
            </w:r>
            <w:r>
              <w:rPr>
                <w:rFonts w:hint="eastAsia" w:ascii="The" w:hAnsi="The" w:eastAsia="仿宋_GB2312"/>
                <w:color w:val="000000" w:themeColor="text1"/>
                <w:sz w:val="24"/>
              </w:rPr>
              <w:t>不能）正常参加测试。</w:t>
            </w:r>
          </w:p>
          <w:p>
            <w:pPr>
              <w:spacing w:line="580" w:lineRule="exact"/>
              <w:ind w:firstLine="5040" w:firstLineChars="2100"/>
              <w:rPr>
                <w:rFonts w:ascii="The" w:hAnsi="The" w:eastAsia="仿宋_GB2312"/>
                <w:color w:val="000000" w:themeColor="text1"/>
                <w:sz w:val="24"/>
              </w:rPr>
            </w:pPr>
          </w:p>
          <w:p>
            <w:pPr>
              <w:spacing w:line="580" w:lineRule="exact"/>
              <w:ind w:firstLine="5040" w:firstLineChars="2100"/>
              <w:rPr>
                <w:rFonts w:ascii="The" w:hAnsi="The" w:eastAsia="仿宋_GB2312"/>
                <w:color w:val="000000" w:themeColor="text1"/>
                <w:sz w:val="24"/>
              </w:rPr>
            </w:pPr>
          </w:p>
          <w:p>
            <w:pPr>
              <w:spacing w:line="580" w:lineRule="exact"/>
              <w:ind w:firstLine="4920" w:firstLineChars="2050"/>
              <w:rPr>
                <w:rFonts w:ascii="The" w:hAnsi="The" w:eastAsia="仿宋_GB2312"/>
                <w:color w:val="000000" w:themeColor="text1"/>
                <w:sz w:val="24"/>
              </w:rPr>
            </w:pPr>
            <w:r>
              <w:rPr>
                <w:rFonts w:hint="eastAsia" w:ascii="The" w:hAnsi="The" w:eastAsia="仿宋_GB2312"/>
                <w:color w:val="000000" w:themeColor="text1"/>
                <w:sz w:val="24"/>
              </w:rPr>
              <w:t>学生签名：</w:t>
            </w:r>
          </w:p>
          <w:p>
            <w:pPr>
              <w:spacing w:line="580" w:lineRule="exact"/>
              <w:ind w:firstLine="4680" w:firstLineChars="1950"/>
              <w:rPr>
                <w:rFonts w:ascii="The" w:hAnsi="The" w:eastAsia="仿宋_GB2312"/>
                <w:color w:val="000000" w:themeColor="text1"/>
                <w:sz w:val="24"/>
              </w:rPr>
            </w:pPr>
            <w:r>
              <w:rPr>
                <w:rFonts w:hint="eastAsia" w:ascii="The" w:hAnsi="The" w:eastAsia="仿宋_GB2312"/>
                <w:color w:val="000000" w:themeColor="text1"/>
                <w:sz w:val="24"/>
              </w:rPr>
              <w:t>年</w:t>
            </w:r>
            <w:r>
              <w:rPr>
                <w:rFonts w:ascii="The" w:hAnsi="The" w:eastAsia="仿宋_GB2312"/>
                <w:color w:val="000000" w:themeColor="text1"/>
                <w:sz w:val="24"/>
              </w:rPr>
              <w:t xml:space="preserve">    </w:t>
            </w:r>
            <w:r>
              <w:rPr>
                <w:rFonts w:hint="eastAsia" w:ascii="The" w:hAnsi="The" w:eastAsia="仿宋_GB2312"/>
                <w:color w:val="000000" w:themeColor="text1"/>
                <w:sz w:val="24"/>
              </w:rPr>
              <w:t>月</w:t>
            </w:r>
            <w:r>
              <w:rPr>
                <w:rFonts w:ascii="The" w:hAnsi="The" w:eastAsia="仿宋_GB2312"/>
                <w:color w:val="000000" w:themeColor="text1"/>
                <w:sz w:val="24"/>
              </w:rPr>
              <w:t xml:space="preserve">   </w:t>
            </w:r>
            <w:r>
              <w:rPr>
                <w:rFonts w:hint="eastAsia" w:ascii="The" w:hAnsi="The" w:eastAsia="仿宋_GB2312"/>
                <w:color w:val="000000" w:themeColor="text1"/>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 w:hAnsi="The" w:eastAsia="仿宋_GB2312"/>
                <w:color w:val="000000" w:themeColor="text1"/>
                <w:sz w:val="24"/>
              </w:rPr>
            </w:pPr>
            <w:r>
              <w:rPr>
                <w:rFonts w:hint="eastAsia" w:ascii="The" w:hAnsi="The" w:eastAsia="仿宋_GB2312"/>
                <w:color w:val="000000" w:themeColor="text1"/>
                <w:sz w:val="24"/>
              </w:rPr>
              <w:t>家长意见</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rPr>
                <w:rFonts w:ascii="The" w:hAnsi="The" w:eastAsia="仿宋_GB2312"/>
                <w:color w:val="000000" w:themeColor="text1"/>
                <w:sz w:val="24"/>
              </w:rPr>
            </w:pPr>
            <w:r>
              <w:rPr>
                <w:rFonts w:ascii="The" w:hAnsi="The" w:eastAsia="仿宋_GB2312"/>
                <w:color w:val="000000" w:themeColor="text1"/>
                <w:sz w:val="24"/>
              </w:rPr>
              <w:sym w:font="Wingdings" w:char="00A8"/>
            </w:r>
            <w:r>
              <w:rPr>
                <w:rFonts w:hint="eastAsia" w:ascii="The" w:hAnsi="The" w:eastAsia="仿宋_GB2312"/>
                <w:color w:val="000000" w:themeColor="text1"/>
                <w:sz w:val="24"/>
              </w:rPr>
              <w:t>同意</w:t>
            </w:r>
          </w:p>
          <w:p>
            <w:pPr>
              <w:spacing w:line="580" w:lineRule="exact"/>
              <w:rPr>
                <w:rFonts w:ascii="The" w:hAnsi="The" w:eastAsia="仿宋_GB2312"/>
                <w:color w:val="000000" w:themeColor="text1"/>
                <w:sz w:val="24"/>
              </w:rPr>
            </w:pPr>
            <w:r>
              <w:rPr>
                <w:rFonts w:ascii="The" w:hAnsi="The" w:eastAsia="仿宋_GB2312"/>
                <w:color w:val="000000" w:themeColor="text1"/>
                <w:sz w:val="24"/>
              </w:rPr>
              <w:sym w:font="Wingdings" w:char="00A8"/>
            </w:r>
            <w:r>
              <w:rPr>
                <w:rFonts w:hint="eastAsia" w:ascii="The" w:hAnsi="The" w:eastAsia="仿宋_GB2312"/>
                <w:color w:val="000000" w:themeColor="text1"/>
                <w:sz w:val="24"/>
              </w:rPr>
              <w:t>不同意</w:t>
            </w:r>
          </w:p>
          <w:p>
            <w:pPr>
              <w:spacing w:line="580" w:lineRule="exact"/>
              <w:rPr>
                <w:rFonts w:ascii="The" w:hAnsi="The" w:eastAsia="仿宋_GB2312"/>
                <w:color w:val="000000" w:themeColor="text1"/>
                <w:sz w:val="24"/>
                <w:u w:val="single"/>
              </w:rPr>
            </w:pPr>
            <w:r>
              <w:rPr>
                <w:rFonts w:ascii="The" w:hAnsi="The" w:eastAsia="仿宋_GB2312"/>
                <w:color w:val="000000" w:themeColor="text1"/>
                <w:sz w:val="24"/>
              </w:rPr>
              <w:sym w:font="Wingdings" w:char="00A8"/>
            </w:r>
            <w:r>
              <w:rPr>
                <w:rFonts w:hint="eastAsia" w:ascii="The" w:hAnsi="The" w:eastAsia="仿宋_GB2312"/>
                <w:color w:val="000000" w:themeColor="text1"/>
                <w:sz w:val="24"/>
              </w:rPr>
              <w:t>其他情况</w:t>
            </w:r>
            <w:r>
              <w:rPr>
                <w:rFonts w:ascii="The" w:hAnsi="The" w:eastAsia="仿宋_GB2312"/>
                <w:color w:val="000000" w:themeColor="text1"/>
                <w:sz w:val="24"/>
                <w:u w:val="single"/>
              </w:rPr>
              <w:t xml:space="preserve">                                </w:t>
            </w:r>
          </w:p>
          <w:p>
            <w:pPr>
              <w:spacing w:line="580" w:lineRule="exact"/>
              <w:ind w:firstLine="5040" w:firstLineChars="2100"/>
              <w:rPr>
                <w:rFonts w:ascii="The" w:hAnsi="The" w:eastAsia="仿宋_GB2312"/>
                <w:color w:val="000000" w:themeColor="text1"/>
                <w:sz w:val="24"/>
              </w:rPr>
            </w:pPr>
          </w:p>
          <w:p>
            <w:pPr>
              <w:spacing w:line="580" w:lineRule="exact"/>
              <w:ind w:firstLine="5160" w:firstLineChars="2150"/>
              <w:rPr>
                <w:rFonts w:ascii="The" w:hAnsi="The" w:eastAsia="仿宋_GB2312"/>
                <w:color w:val="000000" w:themeColor="text1"/>
                <w:sz w:val="24"/>
              </w:rPr>
            </w:pPr>
            <w:r>
              <w:rPr>
                <w:rFonts w:hint="eastAsia" w:ascii="The" w:hAnsi="The" w:eastAsia="仿宋_GB2312"/>
                <w:color w:val="000000" w:themeColor="text1"/>
                <w:sz w:val="24"/>
              </w:rPr>
              <w:t>家长签名：</w:t>
            </w:r>
          </w:p>
          <w:p>
            <w:pPr>
              <w:spacing w:line="580" w:lineRule="exact"/>
              <w:ind w:firstLine="4800" w:firstLineChars="2000"/>
              <w:rPr>
                <w:rFonts w:ascii="The" w:hAnsi="The" w:eastAsia="仿宋_GB2312"/>
                <w:color w:val="000000" w:themeColor="text1"/>
                <w:sz w:val="24"/>
              </w:rPr>
            </w:pPr>
            <w:r>
              <w:rPr>
                <w:rFonts w:hint="eastAsia" w:ascii="The" w:hAnsi="The" w:eastAsia="仿宋_GB2312"/>
                <w:color w:val="000000" w:themeColor="text1"/>
                <w:sz w:val="24"/>
              </w:rPr>
              <w:t>年</w:t>
            </w:r>
            <w:r>
              <w:rPr>
                <w:rFonts w:ascii="The" w:hAnsi="The" w:eastAsia="仿宋_GB2312"/>
                <w:color w:val="000000" w:themeColor="text1"/>
                <w:sz w:val="24"/>
              </w:rPr>
              <w:t xml:space="preserve">    </w:t>
            </w:r>
            <w:r>
              <w:rPr>
                <w:rFonts w:hint="eastAsia" w:ascii="The" w:hAnsi="The" w:eastAsia="仿宋_GB2312"/>
                <w:color w:val="000000" w:themeColor="text1"/>
                <w:sz w:val="24"/>
              </w:rPr>
              <w:t>月</w:t>
            </w:r>
            <w:r>
              <w:rPr>
                <w:rFonts w:ascii="The" w:hAnsi="The" w:eastAsia="仿宋_GB2312"/>
                <w:color w:val="000000" w:themeColor="text1"/>
                <w:sz w:val="24"/>
              </w:rPr>
              <w:t xml:space="preserve">   </w:t>
            </w:r>
            <w:r>
              <w:rPr>
                <w:rFonts w:hint="eastAsia" w:ascii="The" w:hAnsi="The" w:eastAsia="仿宋_GB2312"/>
                <w:color w:val="000000" w:themeColor="text1"/>
                <w:sz w:val="24"/>
              </w:rPr>
              <w:t>日</w:t>
            </w:r>
          </w:p>
        </w:tc>
      </w:tr>
    </w:tbl>
    <w:p>
      <w:pPr>
        <w:spacing w:line="580" w:lineRule="exact"/>
        <w:ind w:firstLine="160" w:firstLineChars="50"/>
        <w:rPr>
          <w:rFonts w:ascii="仿宋_GB2312" w:hAnsi="仿宋_GB2312" w:eastAsia="仿宋_GB2312" w:cs="仿宋_GB2312"/>
          <w:color w:val="000000" w:themeColor="text1"/>
          <w:sz w:val="32"/>
          <w:szCs w:val="32"/>
        </w:rPr>
      </w:pPr>
    </w:p>
    <w:sectPr>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6F38BEB-4A48-4D08-9842-2CB34F05069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3915E82-7913-4F6D-B015-D62F666F21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D04DF74-56D1-47C6-9B73-19C2F07FFB28}"/>
  </w:font>
  <w:font w:name="Segoe UI">
    <w:panose1 w:val="020B0502040204020203"/>
    <w:charset w:val="00"/>
    <w:family w:val="swiss"/>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embedRegular r:id="rId4" w:fontKey="{C99C6B0D-B3E0-4FBC-BA5D-64877B0CD0B9}"/>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5" w:fontKey="{E8A1322A-CEBC-450E-9E0E-3A9AAFB64F2A}"/>
  </w:font>
  <w:font w:name="The">
    <w:altName w:val="Times New Roman"/>
    <w:panose1 w:val="00000000000000000000"/>
    <w:charset w:val="00"/>
    <w:family w:val="roman"/>
    <w:pitch w:val="default"/>
    <w:sig w:usb0="00000000" w:usb1="00000000" w:usb2="00000000" w:usb3="00000000" w:csb0="00040001" w:csb1="00000000"/>
    <w:embedRegular r:id="rId6" w:fontKey="{D7EECCBF-9C4B-4F09-8687-7FF562BA6C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rPr>
                    <w:rStyle w:val="11"/>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1</w:t>
                </w:r>
                <w:r>
                  <w:rPr>
                    <w:rFonts w:hint="eastAsia" w:ascii="宋体" w:hAnsi="宋体" w:cs="宋体"/>
                    <w:sz w:val="28"/>
                    <w:szCs w:val="28"/>
                  </w:rPr>
                  <w:fldChar w:fldCharType="end"/>
                </w:r>
                <w:r>
                  <w:rPr>
                    <w:rStyle w:val="11"/>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8662BF"/>
    <w:rsid w:val="001B2245"/>
    <w:rsid w:val="002624D6"/>
    <w:rsid w:val="002D61AF"/>
    <w:rsid w:val="004155A0"/>
    <w:rsid w:val="004C5061"/>
    <w:rsid w:val="00612FBF"/>
    <w:rsid w:val="00691121"/>
    <w:rsid w:val="008450B0"/>
    <w:rsid w:val="00872BED"/>
    <w:rsid w:val="008E2447"/>
    <w:rsid w:val="009F14AE"/>
    <w:rsid w:val="00DE3C07"/>
    <w:rsid w:val="00E059F1"/>
    <w:rsid w:val="00E70144"/>
    <w:rsid w:val="02583D90"/>
    <w:rsid w:val="027F50AE"/>
    <w:rsid w:val="08E472A1"/>
    <w:rsid w:val="08F940F2"/>
    <w:rsid w:val="09F27A47"/>
    <w:rsid w:val="146E47B8"/>
    <w:rsid w:val="14E7478E"/>
    <w:rsid w:val="16BD60B3"/>
    <w:rsid w:val="17524CD9"/>
    <w:rsid w:val="1BD20D0E"/>
    <w:rsid w:val="204D3B6B"/>
    <w:rsid w:val="220B7D6E"/>
    <w:rsid w:val="22C228F8"/>
    <w:rsid w:val="22D42434"/>
    <w:rsid w:val="26A14172"/>
    <w:rsid w:val="33E7744D"/>
    <w:rsid w:val="382637A8"/>
    <w:rsid w:val="3A4140A4"/>
    <w:rsid w:val="3D711EEE"/>
    <w:rsid w:val="407D5C80"/>
    <w:rsid w:val="40FE2E51"/>
    <w:rsid w:val="45F21F09"/>
    <w:rsid w:val="473E15EC"/>
    <w:rsid w:val="477219BC"/>
    <w:rsid w:val="51347DF3"/>
    <w:rsid w:val="5BE77D23"/>
    <w:rsid w:val="5CEE2002"/>
    <w:rsid w:val="5D5A0455"/>
    <w:rsid w:val="5F3A3F0B"/>
    <w:rsid w:val="60306CFA"/>
    <w:rsid w:val="66C71146"/>
    <w:rsid w:val="672C3AB8"/>
    <w:rsid w:val="70A51BF5"/>
    <w:rsid w:val="77E03751"/>
    <w:rsid w:val="798662BF"/>
    <w:rsid w:val="7D70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仿宋_GB2312" w:eastAsia="仿宋_GB2312"/>
      <w:kern w:val="0"/>
      <w:sz w:val="28"/>
    </w:rPr>
  </w:style>
  <w:style w:type="paragraph" w:styleId="5">
    <w:name w:val="Balloon Text"/>
    <w:basedOn w:val="1"/>
    <w:link w:val="13"/>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paragraph" w:customStyle="1" w:styleId="12">
    <w:name w:val="列出段落3"/>
    <w:basedOn w:val="1"/>
    <w:qFormat/>
    <w:uiPriority w:val="0"/>
    <w:pPr>
      <w:ind w:firstLine="420" w:firstLineChars="200"/>
    </w:pPr>
    <w:rPr>
      <w:rFonts w:ascii="Calibri" w:hAnsi="Calibri" w:cs="宋体"/>
      <w:szCs w:val="2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18935</Words>
  <Characters>2322</Characters>
  <Lines>19</Lines>
  <Paragraphs>42</Paragraphs>
  <TotalTime>37</TotalTime>
  <ScaleCrop>false</ScaleCrop>
  <LinksUpToDate>false</LinksUpToDate>
  <CharactersWithSpaces>21215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2020-11-20T04:08:00Z</dcterms:created>
  <dc:creator>Mary</dc:creator>
  <cp:lastModifiedBy>德恒-DH</cp:lastModifiedBy>
  <dcterms:modified xsi:type="dcterms:W3CDTF">2020-11-24T09:38:58Z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