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hAnsi="黑体" w:eastAsia="仿宋_GB2312"/>
          <w:color w:val="auto"/>
          <w:sz w:val="32"/>
          <w:szCs w:val="32"/>
        </w:rPr>
      </w:pPr>
      <w:r>
        <w:rPr>
          <w:rFonts w:hint="eastAsia" w:ascii="仿宋_GB2312" w:hAnsi="黑体" w:eastAsia="仿宋_GB2312"/>
          <w:color w:val="auto"/>
          <w:sz w:val="32"/>
          <w:szCs w:val="32"/>
        </w:rPr>
        <w:t>附件1</w:t>
      </w:r>
    </w:p>
    <w:p>
      <w:pPr>
        <w:spacing w:line="580" w:lineRule="exact"/>
        <w:jc w:val="center"/>
        <w:rPr>
          <w:rFonts w:hint="eastAsia" w:ascii="方正小标宋简体" w:hAnsi="黑体" w:eastAsia="方正小标宋简体"/>
          <w:color w:val="auto"/>
          <w:sz w:val="44"/>
          <w:szCs w:val="44"/>
          <w:lang w:eastAsia="zh-CN"/>
        </w:rPr>
      </w:pPr>
      <w:r>
        <w:rPr>
          <w:rFonts w:hint="eastAsia" w:ascii="方正小标宋简体" w:hAnsi="黑体" w:eastAsia="方正小标宋简体"/>
          <w:color w:val="auto"/>
          <w:sz w:val="44"/>
          <w:szCs w:val="44"/>
          <w:lang w:eastAsia="zh-CN"/>
        </w:rPr>
        <w:t>普通高中学业水平合格性考试</w:t>
      </w:r>
    </w:p>
    <w:p>
      <w:pPr>
        <w:spacing w:line="580" w:lineRule="exact"/>
        <w:jc w:val="center"/>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成绩转入材料真实性承诺书</w:t>
      </w:r>
    </w:p>
    <w:p>
      <w:pPr>
        <w:spacing w:line="520" w:lineRule="exact"/>
        <w:rPr>
          <w:rFonts w:ascii="仿宋_GB2312" w:hAnsi="仿宋" w:eastAsia="仿宋_GB2312"/>
          <w:color w:val="auto"/>
          <w:sz w:val="32"/>
          <w:szCs w:val="32"/>
        </w:rPr>
      </w:pPr>
    </w:p>
    <w:p>
      <w:pPr>
        <w:spacing w:line="520" w:lineRule="exact"/>
        <w:ind w:left="210" w:leftChars="100"/>
        <w:rPr>
          <w:rFonts w:ascii="仿宋_GB2312" w:hAnsi="仿宋" w:eastAsia="仿宋_GB2312"/>
          <w:color w:val="auto"/>
          <w:sz w:val="32"/>
          <w:szCs w:val="32"/>
        </w:rPr>
      </w:pPr>
      <w:r>
        <w:rPr>
          <w:rFonts w:hint="eastAsia" w:ascii="仿宋_GB2312" w:hAnsi="仿宋" w:eastAsia="仿宋_GB2312"/>
          <w:color w:val="auto"/>
          <w:sz w:val="32"/>
          <w:szCs w:val="32"/>
        </w:rPr>
        <w:t xml:space="preserve">     本人申请</w:t>
      </w:r>
      <w:r>
        <w:rPr>
          <w:rFonts w:hint="eastAsia" w:ascii="仿宋_GB2312" w:hAnsi="仿宋" w:eastAsia="仿宋_GB2312"/>
          <w:color w:val="auto"/>
          <w:sz w:val="32"/>
          <w:szCs w:val="32"/>
          <w:lang w:eastAsia="zh-CN"/>
        </w:rPr>
        <w:t>普通高中学业水平合格性考试</w:t>
      </w:r>
      <w:r>
        <w:rPr>
          <w:rFonts w:hint="eastAsia" w:ascii="仿宋_GB2312" w:hAnsi="仿宋" w:eastAsia="仿宋_GB2312"/>
          <w:color w:val="auto"/>
          <w:sz w:val="32"/>
          <w:szCs w:val="32"/>
        </w:rPr>
        <w:t>成绩转入。本人郑重承诺如下事项：</w:t>
      </w:r>
    </w:p>
    <w:p>
      <w:pPr>
        <w:spacing w:line="520" w:lineRule="exact"/>
        <w:ind w:left="210" w:leftChars="100"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一、本人已认真阅读了《国家教育考试违规处理办法》等有关规定，并知晓：通过伪造证件、证明、档案及其他材料获得考试资格、加分资格和考试成绩的，视情节轻重，所报名参加考试的各阶段、各科成绩无效；同时给予暂停参加该项考试1至3年的处理；情节特别严重的，可以同时给予暂停参加各种国家教育考试1至3年的处理。 </w:t>
      </w:r>
    </w:p>
    <w:p>
      <w:pPr>
        <w:spacing w:line="520" w:lineRule="exact"/>
        <w:ind w:left="210" w:leftChars="100"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二、本人保证所填写的全部信息以及所提交的全部证明材料均真实、准确、完整。没有隐瞒或虚构任何事实，也没有造假等不诚信行为。</w:t>
      </w:r>
    </w:p>
    <w:p>
      <w:pPr>
        <w:spacing w:line="520" w:lineRule="exact"/>
        <w:ind w:left="210" w:leftChars="100"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三、如有虚假信息和作假行为，本人自愿接受有关部门根据国家和省有关规定所作出的处罚决定，并承担由此而产生的一切后果。</w:t>
      </w:r>
    </w:p>
    <w:p>
      <w:pPr>
        <w:spacing w:line="560" w:lineRule="exact"/>
        <w:ind w:left="210" w:leftChars="100" w:firstLine="3840" w:firstLineChars="1200"/>
        <w:rPr>
          <w:rFonts w:ascii="仿宋_GB2312" w:hAnsi="仿宋" w:eastAsia="仿宋_GB2312"/>
          <w:color w:val="auto"/>
          <w:sz w:val="32"/>
          <w:szCs w:val="32"/>
        </w:rPr>
      </w:pPr>
    </w:p>
    <w:p>
      <w:pPr>
        <w:spacing w:line="560" w:lineRule="exact"/>
        <w:ind w:left="210" w:leftChars="100" w:firstLine="3840" w:firstLineChars="1200"/>
        <w:rPr>
          <w:rFonts w:ascii="仿宋_GB2312" w:hAnsi="仿宋" w:eastAsia="仿宋_GB2312"/>
          <w:color w:val="auto"/>
          <w:sz w:val="32"/>
          <w:szCs w:val="32"/>
        </w:rPr>
      </w:pPr>
      <w:r>
        <w:rPr>
          <w:rFonts w:hint="eastAsia" w:ascii="仿宋_GB2312" w:hAnsi="仿宋" w:eastAsia="仿宋_GB2312"/>
          <w:color w:val="auto"/>
          <w:sz w:val="32"/>
          <w:szCs w:val="32"/>
        </w:rPr>
        <w:t>中学</w:t>
      </w:r>
      <w:r>
        <w:rPr>
          <w:rFonts w:hint="eastAsia" w:ascii="宋体" w:hAnsi="宋体" w:cs="宋体"/>
          <w:color w:val="auto"/>
          <w:sz w:val="32"/>
          <w:szCs w:val="32"/>
        </w:rPr>
        <w:t>∕</w:t>
      </w:r>
      <w:r>
        <w:rPr>
          <w:rFonts w:hint="eastAsia" w:ascii="仿宋_GB2312" w:hAnsi="仿宋_GB2312" w:eastAsia="仿宋_GB2312" w:cs="仿宋_GB2312"/>
          <w:color w:val="auto"/>
          <w:sz w:val="32"/>
          <w:szCs w:val="32"/>
        </w:rPr>
        <w:t>班级</w:t>
      </w:r>
      <w:r>
        <w:rPr>
          <w:rFonts w:hint="eastAsia" w:ascii="仿宋_GB2312" w:hAnsi="仿宋_GB2312" w:eastAsia="仿宋_GB2312" w:cs="仿宋_GB2312"/>
          <w:color w:val="auto"/>
          <w:sz w:val="32"/>
          <w:szCs w:val="32"/>
          <w:u w:val="single"/>
        </w:rPr>
        <w:t xml:space="preserve">                </w:t>
      </w:r>
    </w:p>
    <w:p>
      <w:pPr>
        <w:spacing w:line="560" w:lineRule="exact"/>
        <w:ind w:left="210" w:leftChars="100" w:firstLine="3840" w:firstLineChars="1200"/>
        <w:rPr>
          <w:rFonts w:ascii="仿宋_GB2312" w:hAnsi="仿宋" w:eastAsia="仿宋_GB2312"/>
          <w:color w:val="auto"/>
          <w:sz w:val="32"/>
          <w:szCs w:val="32"/>
        </w:rPr>
      </w:pPr>
      <w:r>
        <w:rPr>
          <w:rFonts w:hint="eastAsia" w:ascii="仿宋_GB2312" w:hAnsi="仿宋" w:eastAsia="仿宋_GB2312"/>
          <w:color w:val="auto"/>
          <w:sz w:val="32"/>
          <w:szCs w:val="32"/>
        </w:rPr>
        <w:t>身份证号码</w:t>
      </w:r>
      <w:r>
        <w:rPr>
          <w:rFonts w:hint="eastAsia" w:ascii="仿宋_GB2312" w:hAnsi="仿宋_GB2312" w:eastAsia="仿宋_GB2312" w:cs="仿宋_GB2312"/>
          <w:color w:val="auto"/>
          <w:sz w:val="32"/>
          <w:szCs w:val="32"/>
          <w:u w:val="single"/>
        </w:rPr>
        <w:t xml:space="preserve">                </w:t>
      </w:r>
    </w:p>
    <w:p>
      <w:pPr>
        <w:spacing w:line="560" w:lineRule="exact"/>
        <w:ind w:left="210" w:leftChars="100"/>
        <w:rPr>
          <w:rFonts w:ascii="仿宋_GB2312" w:hAnsi="仿宋" w:eastAsia="仿宋_GB2312"/>
          <w:color w:val="auto"/>
          <w:sz w:val="32"/>
          <w:szCs w:val="32"/>
        </w:rPr>
      </w:pPr>
      <w:r>
        <w:rPr>
          <w:rFonts w:hint="eastAsia" w:ascii="仿宋_GB2312" w:hAnsi="仿宋" w:eastAsia="仿宋_GB2312"/>
          <w:color w:val="auto"/>
          <w:sz w:val="32"/>
          <w:szCs w:val="32"/>
        </w:rPr>
        <w:t xml:space="preserve">　　                    承  诺 人 </w:t>
      </w:r>
      <w:r>
        <w:rPr>
          <w:rFonts w:hint="eastAsia" w:ascii="仿宋_GB2312" w:hAnsi="仿宋_GB2312" w:eastAsia="仿宋_GB2312" w:cs="仿宋_GB2312"/>
          <w:color w:val="auto"/>
          <w:sz w:val="32"/>
          <w:szCs w:val="32"/>
          <w:u w:val="single"/>
        </w:rPr>
        <w:t xml:space="preserve">                </w:t>
      </w:r>
    </w:p>
    <w:p>
      <w:pPr>
        <w:widowControl/>
        <w:spacing w:line="560" w:lineRule="exact"/>
        <w:ind w:firstLine="420"/>
        <w:jc w:val="left"/>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w:t>
      </w:r>
      <w:bookmarkStart w:id="1" w:name="_GoBack"/>
      <w:bookmarkEnd w:id="1"/>
      <w:r>
        <w:rPr>
          <w:rFonts w:hint="eastAsia" w:ascii="仿宋_GB2312" w:hAnsi="仿宋_GB2312" w:eastAsia="仿宋_GB2312" w:cs="仿宋_GB2312"/>
          <w:color w:val="auto"/>
          <w:sz w:val="32"/>
          <w:szCs w:val="32"/>
          <w:u w:val="single"/>
        </w:rPr>
        <w:t xml:space="preserve">       </w:t>
      </w:r>
      <w:r>
        <w:rPr>
          <w:rFonts w:hint="eastAsia" w:ascii="仿宋_GB2312" w:hAnsi="仿宋" w:eastAsia="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 w:eastAsia="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 w:eastAsia="仿宋_GB2312"/>
          <w:color w:val="auto"/>
          <w:sz w:val="32"/>
          <w:szCs w:val="32"/>
        </w:rPr>
        <w:t>日</w:t>
      </w:r>
    </w:p>
    <w:p>
      <w:pPr>
        <w:widowControl/>
        <w:spacing w:line="560" w:lineRule="exact"/>
        <w:ind w:firstLine="420"/>
        <w:jc w:val="left"/>
        <w:rPr>
          <w:rFonts w:hint="eastAsia" w:ascii="仿宋_GB2312" w:hAnsi="仿宋" w:eastAsia="仿宋_GB2312"/>
          <w:color w:val="auto"/>
          <w:sz w:val="32"/>
          <w:szCs w:val="32"/>
        </w:rPr>
      </w:pPr>
    </w:p>
    <w:p>
      <w:pPr>
        <w:widowControl/>
        <w:spacing w:line="560" w:lineRule="exact"/>
        <w:ind w:firstLine="420"/>
        <w:jc w:val="left"/>
        <w:rPr>
          <w:rFonts w:hint="eastAsia" w:ascii="仿宋_GB2312" w:hAnsi="仿宋" w:eastAsia="仿宋_GB2312"/>
          <w:color w:val="auto"/>
          <w:sz w:val="32"/>
          <w:szCs w:val="32"/>
          <w:lang w:val="en"/>
        </w:rPr>
      </w:pPr>
    </w:p>
    <w:p>
      <w:pPr>
        <w:spacing w:line="580" w:lineRule="exact"/>
        <w:rPr>
          <w:rFonts w:hint="eastAsia" w:ascii="仿宋_GB2312" w:hAnsi="黑体" w:eastAsia="仿宋_GB2312"/>
          <w:color w:val="auto"/>
          <w:sz w:val="32"/>
          <w:szCs w:val="32"/>
        </w:rPr>
      </w:pPr>
      <w:r>
        <w:rPr>
          <w:rFonts w:hint="eastAsia" w:ascii="仿宋_GB2312" w:hAnsi="黑体" w:eastAsia="仿宋_GB2312"/>
          <w:color w:val="auto"/>
          <w:sz w:val="32"/>
          <w:szCs w:val="32"/>
        </w:rPr>
        <w:t>附件2</w:t>
      </w:r>
    </w:p>
    <w:p>
      <w:pPr>
        <w:spacing w:line="580" w:lineRule="exact"/>
        <w:jc w:val="center"/>
        <w:rPr>
          <w:rFonts w:hint="eastAsia" w:ascii="方正小标宋简体" w:hAnsi="黑体" w:eastAsia="方正小标宋简体"/>
          <w:color w:val="auto"/>
          <w:sz w:val="44"/>
          <w:szCs w:val="44"/>
          <w:lang w:eastAsia="zh-CN"/>
        </w:rPr>
      </w:pPr>
      <w:bookmarkStart w:id="0" w:name="OLE_LINK1"/>
      <w:r>
        <w:rPr>
          <w:rFonts w:hint="eastAsia" w:ascii="方正小标宋简体" w:hAnsi="黑体" w:eastAsia="方正小标宋简体"/>
          <w:color w:val="auto"/>
          <w:sz w:val="44"/>
          <w:szCs w:val="44"/>
        </w:rPr>
        <w:t>外省与我省</w:t>
      </w:r>
      <w:r>
        <w:rPr>
          <w:rFonts w:hint="eastAsia" w:ascii="方正小标宋简体" w:hAnsi="黑体" w:eastAsia="方正小标宋简体"/>
          <w:color w:val="auto"/>
          <w:sz w:val="44"/>
          <w:szCs w:val="44"/>
          <w:lang w:eastAsia="zh-CN"/>
        </w:rPr>
        <w:t>普通高中学业水平合格性考试</w:t>
      </w:r>
    </w:p>
    <w:p>
      <w:pPr>
        <w:spacing w:line="580" w:lineRule="exact"/>
        <w:jc w:val="center"/>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成绩等级转换表</w:t>
      </w:r>
    </w:p>
    <w:p>
      <w:pPr>
        <w:spacing w:line="580" w:lineRule="exact"/>
        <w:jc w:val="both"/>
        <w:rPr>
          <w:rFonts w:ascii="黑体" w:hAnsi="黑体" w:eastAsia="黑体"/>
          <w:color w:val="auto"/>
          <w:sz w:val="36"/>
          <w:szCs w:val="36"/>
        </w:rPr>
      </w:pPr>
    </w:p>
    <w:tbl>
      <w:tblPr>
        <w:tblStyle w:val="2"/>
        <w:tblW w:w="0" w:type="auto"/>
        <w:jc w:val="center"/>
        <w:tblLayout w:type="fixed"/>
        <w:tblCellMar>
          <w:top w:w="0" w:type="dxa"/>
          <w:left w:w="108" w:type="dxa"/>
          <w:bottom w:w="0" w:type="dxa"/>
          <w:right w:w="108" w:type="dxa"/>
        </w:tblCellMar>
      </w:tblPr>
      <w:tblGrid>
        <w:gridCol w:w="4860"/>
        <w:gridCol w:w="4680"/>
      </w:tblGrid>
      <w:tr>
        <w:tblPrEx>
          <w:tblCellMar>
            <w:top w:w="0" w:type="dxa"/>
            <w:left w:w="108" w:type="dxa"/>
            <w:bottom w:w="0" w:type="dxa"/>
            <w:right w:w="108" w:type="dxa"/>
          </w:tblCellMar>
        </w:tblPrEx>
        <w:trPr>
          <w:trHeight w:val="810" w:hRule="atLeast"/>
          <w:jc w:val="center"/>
        </w:trPr>
        <w:tc>
          <w:tcPr>
            <w:tcW w:w="4860"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400" w:lineRule="exact"/>
              <w:jc w:val="center"/>
              <w:rPr>
                <w:rFonts w:hint="eastAsia" w:ascii="仿宋_GB2312" w:hAnsi="黑体" w:eastAsia="仿宋_GB2312" w:cs="宋体"/>
                <w:b/>
                <w:color w:val="auto"/>
                <w:kern w:val="0"/>
                <w:sz w:val="32"/>
                <w:szCs w:val="32"/>
                <w:lang w:eastAsia="zh-CN"/>
              </w:rPr>
            </w:pPr>
            <w:r>
              <w:rPr>
                <w:rFonts w:hint="eastAsia" w:ascii="仿宋_GB2312" w:hAnsi="黑体" w:eastAsia="仿宋_GB2312" w:cs="宋体"/>
                <w:b/>
                <w:color w:val="auto"/>
                <w:kern w:val="0"/>
                <w:sz w:val="32"/>
                <w:szCs w:val="32"/>
              </w:rPr>
              <w:t>外省</w:t>
            </w:r>
            <w:r>
              <w:rPr>
                <w:rFonts w:hint="eastAsia" w:ascii="仿宋_GB2312" w:hAnsi="黑体" w:eastAsia="仿宋_GB2312" w:cs="宋体"/>
                <w:b/>
                <w:color w:val="auto"/>
                <w:kern w:val="0"/>
                <w:sz w:val="32"/>
                <w:szCs w:val="32"/>
                <w:lang w:eastAsia="zh-CN"/>
              </w:rPr>
              <w:t>普通高中学业水平</w:t>
            </w:r>
          </w:p>
          <w:p>
            <w:pPr>
              <w:widowControl/>
              <w:snapToGrid w:val="0"/>
              <w:spacing w:line="400" w:lineRule="exact"/>
              <w:jc w:val="center"/>
              <w:rPr>
                <w:rFonts w:hint="eastAsia" w:ascii="仿宋_GB2312" w:hAnsi="黑体" w:eastAsia="仿宋_GB2312" w:cs="宋体"/>
                <w:b/>
                <w:color w:val="auto"/>
                <w:kern w:val="0"/>
                <w:sz w:val="32"/>
                <w:szCs w:val="32"/>
              </w:rPr>
            </w:pPr>
            <w:r>
              <w:rPr>
                <w:rFonts w:hint="eastAsia" w:ascii="仿宋_GB2312" w:hAnsi="黑体" w:eastAsia="仿宋_GB2312" w:cs="宋体"/>
                <w:b/>
                <w:color w:val="auto"/>
                <w:kern w:val="0"/>
                <w:sz w:val="32"/>
                <w:szCs w:val="32"/>
                <w:lang w:eastAsia="zh-CN"/>
              </w:rPr>
              <w:t>合格性考试</w:t>
            </w:r>
            <w:r>
              <w:rPr>
                <w:rFonts w:hint="eastAsia" w:ascii="仿宋_GB2312" w:hAnsi="黑体" w:eastAsia="仿宋_GB2312" w:cs="宋体"/>
                <w:b/>
                <w:color w:val="auto"/>
                <w:kern w:val="0"/>
                <w:sz w:val="32"/>
                <w:szCs w:val="32"/>
              </w:rPr>
              <w:t>成绩或等级</w:t>
            </w:r>
          </w:p>
        </w:tc>
        <w:tc>
          <w:tcPr>
            <w:tcW w:w="4680" w:type="dxa"/>
            <w:tcBorders>
              <w:top w:val="single" w:color="auto" w:sz="4" w:space="0"/>
              <w:left w:val="nil"/>
              <w:bottom w:val="single" w:color="auto" w:sz="4" w:space="0"/>
              <w:right w:val="single" w:color="auto" w:sz="4" w:space="0"/>
            </w:tcBorders>
            <w:noWrap w:val="0"/>
            <w:vAlign w:val="top"/>
          </w:tcPr>
          <w:p>
            <w:pPr>
              <w:widowControl/>
              <w:snapToGrid w:val="0"/>
              <w:spacing w:line="400" w:lineRule="exact"/>
              <w:jc w:val="center"/>
              <w:rPr>
                <w:rFonts w:hint="eastAsia" w:ascii="仿宋_GB2312" w:hAnsi="黑体" w:eastAsia="仿宋_GB2312" w:cs="宋体"/>
                <w:b/>
                <w:color w:val="auto"/>
                <w:kern w:val="0"/>
                <w:sz w:val="32"/>
                <w:szCs w:val="32"/>
                <w:lang w:eastAsia="zh-CN"/>
              </w:rPr>
            </w:pPr>
            <w:r>
              <w:rPr>
                <w:rFonts w:hint="eastAsia" w:ascii="仿宋_GB2312" w:hAnsi="黑体" w:eastAsia="仿宋_GB2312" w:cs="宋体"/>
                <w:b/>
                <w:color w:val="auto"/>
                <w:kern w:val="0"/>
                <w:sz w:val="32"/>
                <w:szCs w:val="32"/>
              </w:rPr>
              <w:t>广东省</w:t>
            </w:r>
            <w:r>
              <w:rPr>
                <w:rFonts w:hint="eastAsia" w:ascii="仿宋_GB2312" w:hAnsi="黑体" w:eastAsia="仿宋_GB2312" w:cs="宋体"/>
                <w:b/>
                <w:color w:val="auto"/>
                <w:kern w:val="0"/>
                <w:sz w:val="32"/>
                <w:szCs w:val="32"/>
                <w:lang w:eastAsia="zh-CN"/>
              </w:rPr>
              <w:t>普通高中学业水平</w:t>
            </w:r>
          </w:p>
          <w:p>
            <w:pPr>
              <w:widowControl/>
              <w:snapToGrid w:val="0"/>
              <w:spacing w:line="400" w:lineRule="exact"/>
              <w:jc w:val="center"/>
              <w:rPr>
                <w:rFonts w:hint="eastAsia" w:ascii="仿宋_GB2312" w:hAnsi="黑体" w:eastAsia="仿宋_GB2312" w:cs="宋体"/>
                <w:b/>
                <w:color w:val="auto"/>
                <w:kern w:val="0"/>
                <w:sz w:val="32"/>
                <w:szCs w:val="32"/>
              </w:rPr>
            </w:pPr>
            <w:r>
              <w:rPr>
                <w:rFonts w:hint="eastAsia" w:ascii="仿宋_GB2312" w:hAnsi="黑体" w:eastAsia="仿宋_GB2312" w:cs="宋体"/>
                <w:b/>
                <w:color w:val="auto"/>
                <w:kern w:val="0"/>
                <w:sz w:val="32"/>
                <w:szCs w:val="32"/>
                <w:lang w:eastAsia="zh-CN"/>
              </w:rPr>
              <w:t>合格性考试</w:t>
            </w:r>
            <w:r>
              <w:rPr>
                <w:rFonts w:hint="eastAsia" w:ascii="仿宋_GB2312" w:hAnsi="黑体" w:eastAsia="仿宋_GB2312" w:cs="宋体"/>
                <w:b/>
                <w:color w:val="auto"/>
                <w:kern w:val="0"/>
                <w:sz w:val="32"/>
                <w:szCs w:val="32"/>
              </w:rPr>
              <w:t>成绩等级</w:t>
            </w:r>
          </w:p>
        </w:tc>
      </w:tr>
      <w:tr>
        <w:tblPrEx>
          <w:tblCellMar>
            <w:top w:w="0" w:type="dxa"/>
            <w:left w:w="108" w:type="dxa"/>
            <w:bottom w:w="0" w:type="dxa"/>
            <w:right w:w="108" w:type="dxa"/>
          </w:tblCellMar>
        </w:tblPrEx>
        <w:trPr>
          <w:trHeight w:val="1215" w:hRule="atLeast"/>
          <w:jc w:val="center"/>
        </w:trPr>
        <w:tc>
          <w:tcPr>
            <w:tcW w:w="4860" w:type="dxa"/>
            <w:tcBorders>
              <w:top w:val="nil"/>
              <w:left w:val="single" w:color="auto" w:sz="4" w:space="0"/>
              <w:bottom w:val="single" w:color="auto" w:sz="4" w:space="0"/>
              <w:right w:val="single" w:color="auto" w:sz="4" w:space="0"/>
            </w:tcBorders>
            <w:noWrap w:val="0"/>
            <w:vAlign w:val="top"/>
          </w:tcPr>
          <w:p>
            <w:pPr>
              <w:widowControl/>
              <w:snapToGrid w:val="0"/>
              <w:spacing w:line="400" w:lineRule="exac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w:t>
            </w:r>
            <w:r>
              <w:rPr>
                <w:rFonts w:hint="eastAsia" w:ascii="仿宋_GB2312" w:hAnsi="宋体" w:eastAsia="仿宋_GB2312"/>
                <w:color w:val="auto"/>
                <w:kern w:val="0"/>
                <w:sz w:val="28"/>
                <w:szCs w:val="28"/>
              </w:rPr>
              <w:t xml:space="preserve"> </w:t>
            </w:r>
            <w:r>
              <w:rPr>
                <w:rFonts w:hint="eastAsia" w:ascii="仿宋_GB2312" w:hAnsi="宋体" w:eastAsia="仿宋_GB2312" w:cs="宋体"/>
                <w:color w:val="auto"/>
                <w:kern w:val="0"/>
                <w:sz w:val="28"/>
                <w:szCs w:val="28"/>
              </w:rPr>
              <w:t>A；</w:t>
            </w:r>
          </w:p>
          <w:p>
            <w:pPr>
              <w:widowControl/>
              <w:snapToGrid w:val="0"/>
              <w:spacing w:line="400" w:lineRule="exac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2.优秀、优；</w:t>
            </w:r>
          </w:p>
          <w:p>
            <w:pPr>
              <w:widowControl/>
              <w:snapToGrid w:val="0"/>
              <w:spacing w:line="400" w:lineRule="exac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3.85分及以上（百分制）</w:t>
            </w:r>
          </w:p>
        </w:tc>
        <w:tc>
          <w:tcPr>
            <w:tcW w:w="4680" w:type="dxa"/>
            <w:tcBorders>
              <w:top w:val="nil"/>
              <w:left w:val="nil"/>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A</w:t>
            </w:r>
          </w:p>
        </w:tc>
      </w:tr>
      <w:tr>
        <w:tblPrEx>
          <w:tblCellMar>
            <w:top w:w="0" w:type="dxa"/>
            <w:left w:w="108" w:type="dxa"/>
            <w:bottom w:w="0" w:type="dxa"/>
            <w:right w:w="108" w:type="dxa"/>
          </w:tblCellMar>
        </w:tblPrEx>
        <w:trPr>
          <w:trHeight w:val="1215" w:hRule="atLeast"/>
          <w:jc w:val="center"/>
        </w:trPr>
        <w:tc>
          <w:tcPr>
            <w:tcW w:w="4860" w:type="dxa"/>
            <w:tcBorders>
              <w:top w:val="nil"/>
              <w:left w:val="single" w:color="auto" w:sz="4" w:space="0"/>
              <w:bottom w:val="single" w:color="auto" w:sz="4" w:space="0"/>
              <w:right w:val="single" w:color="auto" w:sz="4" w:space="0"/>
            </w:tcBorders>
            <w:noWrap w:val="0"/>
            <w:vAlign w:val="top"/>
          </w:tcPr>
          <w:p>
            <w:pPr>
              <w:widowControl/>
              <w:snapToGrid w:val="0"/>
              <w:spacing w:line="4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1.B；</w:t>
            </w:r>
          </w:p>
          <w:p>
            <w:pPr>
              <w:widowControl/>
              <w:snapToGrid w:val="0"/>
              <w:spacing w:line="4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2.良好、良；</w:t>
            </w:r>
          </w:p>
          <w:p>
            <w:pPr>
              <w:widowControl/>
              <w:snapToGrid w:val="0"/>
              <w:spacing w:line="4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3.70分-84分（百分制）</w:t>
            </w:r>
          </w:p>
        </w:tc>
        <w:tc>
          <w:tcPr>
            <w:tcW w:w="4680" w:type="dxa"/>
            <w:tcBorders>
              <w:top w:val="nil"/>
              <w:left w:val="nil"/>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B</w:t>
            </w:r>
          </w:p>
        </w:tc>
      </w:tr>
      <w:tr>
        <w:tblPrEx>
          <w:tblCellMar>
            <w:top w:w="0" w:type="dxa"/>
            <w:left w:w="108" w:type="dxa"/>
            <w:bottom w:w="0" w:type="dxa"/>
            <w:right w:w="108" w:type="dxa"/>
          </w:tblCellMar>
        </w:tblPrEx>
        <w:trPr>
          <w:trHeight w:val="1215" w:hRule="atLeast"/>
          <w:jc w:val="center"/>
        </w:trPr>
        <w:tc>
          <w:tcPr>
            <w:tcW w:w="4860" w:type="dxa"/>
            <w:tcBorders>
              <w:top w:val="nil"/>
              <w:left w:val="single" w:color="auto" w:sz="4" w:space="0"/>
              <w:bottom w:val="single" w:color="auto" w:sz="4" w:space="0"/>
              <w:right w:val="single" w:color="auto" w:sz="4" w:space="0"/>
            </w:tcBorders>
            <w:noWrap w:val="0"/>
            <w:vAlign w:val="top"/>
          </w:tcPr>
          <w:p>
            <w:pPr>
              <w:widowControl/>
              <w:snapToGrid w:val="0"/>
              <w:spacing w:line="4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1.C；</w:t>
            </w:r>
          </w:p>
          <w:p>
            <w:pPr>
              <w:widowControl/>
              <w:snapToGrid w:val="0"/>
              <w:spacing w:line="4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2.及格、合格；</w:t>
            </w:r>
          </w:p>
          <w:p>
            <w:pPr>
              <w:widowControl/>
              <w:snapToGrid w:val="0"/>
              <w:spacing w:line="4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3.50分-69分（百分制）</w:t>
            </w:r>
          </w:p>
        </w:tc>
        <w:tc>
          <w:tcPr>
            <w:tcW w:w="4680" w:type="dxa"/>
            <w:tcBorders>
              <w:top w:val="nil"/>
              <w:left w:val="nil"/>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C</w:t>
            </w:r>
          </w:p>
        </w:tc>
      </w:tr>
      <w:tr>
        <w:tblPrEx>
          <w:tblCellMar>
            <w:top w:w="0" w:type="dxa"/>
            <w:left w:w="108" w:type="dxa"/>
            <w:bottom w:w="0" w:type="dxa"/>
            <w:right w:w="108" w:type="dxa"/>
          </w:tblCellMar>
        </w:tblPrEx>
        <w:trPr>
          <w:trHeight w:val="880" w:hRule="atLeast"/>
          <w:jc w:val="center"/>
        </w:trPr>
        <w:tc>
          <w:tcPr>
            <w:tcW w:w="4860" w:type="dxa"/>
            <w:tcBorders>
              <w:top w:val="nil"/>
              <w:left w:val="single" w:color="auto" w:sz="4" w:space="0"/>
              <w:bottom w:val="single" w:color="auto" w:sz="4" w:space="0"/>
              <w:right w:val="single" w:color="auto" w:sz="4" w:space="0"/>
            </w:tcBorders>
            <w:noWrap w:val="0"/>
            <w:vAlign w:val="top"/>
          </w:tcPr>
          <w:p>
            <w:pPr>
              <w:widowControl/>
              <w:snapToGrid w:val="0"/>
              <w:spacing w:line="4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1.D（及格或合格）；</w:t>
            </w:r>
          </w:p>
          <w:p>
            <w:pPr>
              <w:widowControl/>
              <w:snapToGrid w:val="0"/>
              <w:spacing w:line="4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2.不合格、不及格，但考试成绩在25分（百分制）以上；</w:t>
            </w:r>
          </w:p>
          <w:p>
            <w:pPr>
              <w:widowControl/>
              <w:snapToGrid w:val="0"/>
              <w:spacing w:line="4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3.25分-49分（百分制）</w:t>
            </w:r>
          </w:p>
        </w:tc>
        <w:tc>
          <w:tcPr>
            <w:tcW w:w="4680" w:type="dxa"/>
            <w:tcBorders>
              <w:top w:val="nil"/>
              <w:left w:val="nil"/>
              <w:bottom w:val="single" w:color="auto" w:sz="4" w:space="0"/>
              <w:right w:val="single" w:color="auto" w:sz="4" w:space="0"/>
            </w:tcBorders>
            <w:noWrap w:val="0"/>
            <w:vAlign w:val="center"/>
          </w:tcPr>
          <w:p>
            <w:pPr>
              <w:widowControl/>
              <w:snapToGrid w:val="0"/>
              <w:spacing w:line="400" w:lineRule="exact"/>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D</w:t>
            </w:r>
          </w:p>
        </w:tc>
      </w:tr>
      <w:bookmarkEnd w:id="0"/>
    </w:tbl>
    <w:p>
      <w:pPr>
        <w:snapToGrid w:val="0"/>
        <w:spacing w:line="580" w:lineRule="exact"/>
        <w:ind w:left="960" w:hanging="960" w:hangingChars="300"/>
        <w:rPr>
          <w:rFonts w:hint="eastAsia" w:ascii="仿宋_GB2312" w:hAnsi="宋体" w:eastAsia="仿宋_GB2312"/>
          <w:color w:val="auto"/>
          <w:sz w:val="32"/>
          <w:szCs w:val="32"/>
        </w:rPr>
      </w:pPr>
      <w:r>
        <w:rPr>
          <w:rFonts w:hint="eastAsia" w:ascii="仿宋_GB2312" w:hAnsi="宋体" w:eastAsia="仿宋_GB2312"/>
          <w:color w:val="auto"/>
          <w:sz w:val="32"/>
          <w:szCs w:val="32"/>
        </w:rPr>
        <w:t>注：1.只认可本省户籍考生在外省就读高中阶段学校期间，参加由就读省级教育行政部门或考试部门统一组织考试所取得的成绩；</w:t>
      </w:r>
    </w:p>
    <w:p>
      <w:pPr>
        <w:snapToGrid w:val="0"/>
        <w:spacing w:line="58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2.考生参加多次考试（含补考）的，可取其最好成绩；</w:t>
      </w:r>
    </w:p>
    <w:p>
      <w:pPr>
        <w:snapToGrid w:val="0"/>
        <w:spacing w:line="58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3.考试成绩同时以分数和等级呈现的，以等级为准；</w:t>
      </w:r>
    </w:p>
    <w:p>
      <w:pPr>
        <w:snapToGrid w:val="0"/>
        <w:spacing w:line="580" w:lineRule="exact"/>
        <w:ind w:left="973" w:leftChars="311" w:hanging="320" w:hangingChars="100"/>
        <w:rPr>
          <w:rFonts w:hint="eastAsia" w:ascii="仿宋_GB2312" w:hAnsi="宋体" w:eastAsia="仿宋_GB2312"/>
          <w:color w:val="auto"/>
          <w:sz w:val="32"/>
          <w:szCs w:val="32"/>
        </w:rPr>
      </w:pPr>
      <w:r>
        <w:rPr>
          <w:rFonts w:hint="eastAsia" w:ascii="仿宋_GB2312" w:hAnsi="宋体" w:eastAsia="仿宋_GB2312"/>
          <w:color w:val="auto"/>
          <w:sz w:val="32"/>
          <w:szCs w:val="32"/>
        </w:rPr>
        <w:t>4.考试成绩在24分（百分制）以下，或成绩等级为不合格、不及格且没有具体考试成绩的，无等级。</w:t>
      </w:r>
    </w:p>
    <w:p>
      <w:pPr>
        <w:spacing w:line="580" w:lineRule="exact"/>
        <w:rPr>
          <w:rFonts w:hint="eastAsia" w:ascii="仿宋_GB2312" w:hAnsi="黑体" w:eastAsia="仿宋_GB2312"/>
          <w:color w:val="auto"/>
          <w:sz w:val="32"/>
          <w:szCs w:val="32"/>
        </w:rPr>
      </w:pPr>
      <w:r>
        <w:rPr>
          <w:rFonts w:hint="eastAsia" w:ascii="仿宋_GB2312" w:hAnsi="黑体" w:eastAsia="仿宋_GB2312"/>
          <w:color w:val="auto"/>
          <w:sz w:val="36"/>
          <w:szCs w:val="36"/>
        </w:rPr>
        <w:br w:type="page"/>
      </w:r>
      <w:r>
        <w:rPr>
          <w:rFonts w:hint="eastAsia" w:ascii="仿宋_GB2312" w:hAnsi="黑体" w:eastAsia="仿宋_GB2312"/>
          <w:color w:val="auto"/>
          <w:sz w:val="32"/>
          <w:szCs w:val="32"/>
        </w:rPr>
        <w:t>附件3</w:t>
      </w:r>
    </w:p>
    <w:p>
      <w:pPr>
        <w:spacing w:line="560" w:lineRule="exact"/>
        <w:ind w:left="-424" w:leftChars="-202" w:right="-227" w:rightChars="-108"/>
        <w:jc w:val="center"/>
        <w:rPr>
          <w:rFonts w:hint="eastAsia" w:ascii="方正小标宋简体" w:hAnsi="黑体" w:eastAsia="方正小标宋简体"/>
          <w:color w:val="auto"/>
          <w:sz w:val="44"/>
          <w:szCs w:val="44"/>
          <w:lang w:eastAsia="zh-CN"/>
        </w:rPr>
      </w:pPr>
      <w:r>
        <w:rPr>
          <w:rFonts w:hint="eastAsia" w:ascii="方正小标宋简体" w:hAnsi="黑体" w:eastAsia="方正小标宋简体"/>
          <w:color w:val="auto"/>
          <w:sz w:val="44"/>
          <w:szCs w:val="44"/>
        </w:rPr>
        <w:t>广东省</w:t>
      </w:r>
      <w:r>
        <w:rPr>
          <w:rFonts w:hint="eastAsia" w:ascii="方正小标宋简体" w:hAnsi="黑体" w:eastAsia="方正小标宋简体"/>
          <w:color w:val="auto"/>
          <w:sz w:val="44"/>
          <w:szCs w:val="44"/>
          <w:lang w:eastAsia="zh-CN"/>
        </w:rPr>
        <w:t>普通高中学业水平合格性考试</w:t>
      </w:r>
    </w:p>
    <w:p>
      <w:pPr>
        <w:spacing w:line="560" w:lineRule="exact"/>
        <w:ind w:left="-424" w:leftChars="-202" w:right="-227" w:rightChars="-108"/>
        <w:jc w:val="center"/>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成绩转入办理流程</w:t>
      </w:r>
    </w:p>
    <w:p>
      <w:pPr>
        <w:spacing w:line="560" w:lineRule="exact"/>
        <w:ind w:left="-424" w:leftChars="-202" w:right="-227" w:rightChars="-108"/>
        <w:jc w:val="center"/>
        <w:rPr>
          <w:rFonts w:ascii="仿宋_GB2312" w:hAnsi="黑体" w:eastAsia="仿宋_GB2312"/>
          <w:color w:val="auto"/>
          <w:sz w:val="28"/>
          <w:szCs w:val="28"/>
        </w:rPr>
      </w:pPr>
      <w:r>
        <w:rPr>
          <w:rFonts w:hint="eastAsia" w:ascii="仿宋_GB2312" w:hAnsi="黑体" w:eastAsia="仿宋_GB2312"/>
          <w:color w:val="auto"/>
          <w:sz w:val="28"/>
          <w:szCs w:val="28"/>
        </w:rPr>
        <w:t>（适用对象：已有外省成绩回广东参加高考的考生）</w:t>
      </w:r>
    </w:p>
    <w:p>
      <w:pPr>
        <w:snapToGrid w:val="0"/>
        <w:spacing w:line="560" w:lineRule="exact"/>
        <w:rPr>
          <w:rFonts w:ascii="黑体" w:hAnsi="黑体" w:eastAsia="黑体"/>
          <w:color w:val="auto"/>
          <w:sz w:val="28"/>
          <w:szCs w:val="28"/>
        </w:rPr>
      </w:pPr>
      <w:r>
        <w:rPr>
          <w:rFonts w:ascii="Calibri" w:hAnsi="Calibri"/>
          <w:color w:val="auto"/>
          <w:szCs w:val="22"/>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231775</wp:posOffset>
                </wp:positionV>
                <wp:extent cx="5476875" cy="906780"/>
                <wp:effectExtent l="5080" t="4445" r="4445" b="22225"/>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5476875" cy="703580"/>
                        </a:xfrm>
                        <a:prstGeom prst="rect">
                          <a:avLst/>
                        </a:prstGeom>
                        <a:solidFill>
                          <a:srgbClr val="FFFFFF"/>
                        </a:solidFill>
                        <a:ln w="9525">
                          <a:solidFill>
                            <a:srgbClr val="000000"/>
                          </a:solidFill>
                          <a:miter lim="800000"/>
                        </a:ln>
                        <a:effectLst/>
                      </wps:spPr>
                      <wps:txbx>
                        <w:txbxContent>
                          <w:p>
                            <w:pPr>
                              <w:jc w:val="center"/>
                            </w:pPr>
                            <w:r>
                              <w:rPr>
                                <w:rFonts w:hint="eastAsia"/>
                                <w:b/>
                              </w:rPr>
                              <w:t>网上申请：</w:t>
                            </w:r>
                            <w:r>
                              <w:t>20</w:t>
                            </w:r>
                            <w:r>
                              <w:rPr>
                                <w:rFonts w:hint="eastAsia"/>
                                <w:lang w:val="en-US" w:eastAsia="zh-CN"/>
                              </w:rPr>
                              <w:t>20</w:t>
                            </w:r>
                            <w:r>
                              <w:rPr>
                                <w:rFonts w:hint="eastAsia"/>
                              </w:rPr>
                              <w:t>年</w:t>
                            </w:r>
                            <w:r>
                              <w:t>12</w:t>
                            </w:r>
                            <w:r>
                              <w:rPr>
                                <w:rFonts w:hint="eastAsia"/>
                              </w:rPr>
                              <w:t>月1至</w:t>
                            </w:r>
                            <w:r>
                              <w:rPr>
                                <w:rFonts w:hint="eastAsia"/>
                                <w:lang w:val="en-US" w:eastAsia="zh-CN"/>
                              </w:rPr>
                              <w:t>2021年</w:t>
                            </w:r>
                            <w:r>
                              <w:rPr>
                                <w:rFonts w:hint="eastAsia"/>
                              </w:rPr>
                              <w:t>1月15日，考生网上登录“广东省</w:t>
                            </w:r>
                            <w:r>
                              <w:rPr>
                                <w:rFonts w:hint="eastAsia"/>
                                <w:lang w:eastAsia="zh-CN"/>
                              </w:rPr>
                              <w:t>普通高中学业水平合格性考试</w:t>
                            </w:r>
                            <w:r>
                              <w:rPr>
                                <w:rFonts w:hint="eastAsia"/>
                              </w:rPr>
                              <w:t>成绩转移管理系统”（成绩转入网址：</w:t>
                            </w:r>
                            <w:r>
                              <w:fldChar w:fldCharType="begin"/>
                            </w:r>
                            <w:r>
                              <w:instrText xml:space="preserve">HYPERLINK "http://www.eeagd.edu.cn/xyspzr"</w:instrText>
                            </w:r>
                            <w:r>
                              <w:fldChar w:fldCharType="separate"/>
                            </w:r>
                            <w:r>
                              <w:rPr>
                                <w:rStyle w:val="4"/>
                                <w:color w:val="auto"/>
                              </w:rPr>
                              <w:t>http://www.e</w:t>
                            </w:r>
                            <w:r>
                              <w:rPr>
                                <w:rStyle w:val="4"/>
                                <w:rFonts w:hint="eastAsia"/>
                                <w:color w:val="auto"/>
                              </w:rPr>
                              <w:t>ea</w:t>
                            </w:r>
                            <w:r>
                              <w:rPr>
                                <w:rStyle w:val="4"/>
                                <w:color w:val="auto"/>
                              </w:rPr>
                              <w:t>gd.edu.cn/xyspzr</w:t>
                            </w:r>
                            <w:r>
                              <w:fldChar w:fldCharType="end"/>
                            </w:r>
                            <w:r>
                              <w:rPr>
                                <w:rFonts w:hint="eastAsia"/>
                              </w:rPr>
                              <w:t>；或通过广东省教育考试院网站</w:t>
                            </w:r>
                            <w:r>
                              <w:rPr>
                                <w:rFonts w:hint="eastAsia"/>
                                <w:color w:val="auto"/>
                              </w:rPr>
                              <w:t>首页“</w:t>
                            </w:r>
                            <w:r>
                              <w:rPr>
                                <w:rFonts w:hint="eastAsia"/>
                                <w:color w:val="auto"/>
                                <w:lang w:val="en-US" w:eastAsia="zh-CN"/>
                              </w:rPr>
                              <w:t>报名报考</w:t>
                            </w:r>
                            <w:r>
                              <w:rPr>
                                <w:rFonts w:hint="eastAsia"/>
                                <w:color w:val="auto"/>
                              </w:rPr>
                              <w:t>”条目进入“高中学考</w:t>
                            </w:r>
                            <w:r>
                              <w:rPr>
                                <w:color w:val="auto"/>
                              </w:rPr>
                              <w:t>-</w:t>
                            </w:r>
                            <w:r>
                              <w:rPr>
                                <w:rFonts w:hint="eastAsia"/>
                                <w:color w:val="auto"/>
                              </w:rPr>
                              <w:t>考生成绩转入”），提出</w:t>
                            </w:r>
                            <w:r>
                              <w:rPr>
                                <w:rFonts w:hint="eastAsia"/>
                                <w:b/>
                                <w:color w:val="auto"/>
                                <w:u w:val="single"/>
                              </w:rPr>
                              <w:t>全部科目成绩</w:t>
                            </w:r>
                            <w:r>
                              <w:rPr>
                                <w:rFonts w:hint="eastAsia"/>
                                <w:color w:val="auto"/>
                              </w:rPr>
                              <w:t>转入申请并</w:t>
                            </w:r>
                            <w:r>
                              <w:rPr>
                                <w:rFonts w:hint="eastAsia"/>
                              </w:rPr>
                              <w:t>确认。</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pt;margin-top:18.25pt;height:71.4pt;width:431.25pt;z-index:251661312;mso-width-relative:page;mso-height-relative:page;" fillcolor="#FFFFFF" filled="t" stroked="t" coordsize="21600,21600" o:gfxdata="UEsDBAoAAAAAAIdO4kAAAAAAAAAAAAAAAAAEAAAAZHJzL1BLAwQUAAAACACHTuJAWObCpdcAAAAI&#10;AQAADwAAAGRycy9kb3ducmV2LnhtbE2PwU6DQBCG7ya+w2ZMvNmlkNKWsvSgqYnHll68LewUUHaW&#10;sEuLPr3jSU+Tyf/ln2/y/Wx7ccXRd44ULBcRCKTamY4aBefy8LQB4YMmo3tHqOALPeyL+7tcZ8bd&#10;6IjXU2gEl5DPtII2hCGT0tctWu0XbkDi7OJGqwOvYyPNqG9cbnsZR1Eqre6IL7R6wOcW68/TZBVU&#10;XXzW38fyNbLbQxLe5vJjen9R6vFhGe1ABJzDHwy/+qwOBTtVbiLjRa8giRnkka5AcLxJV2sQFXPr&#10;bQKyyOX/B4ofUEsDBBQAAAAIAIdO4kDghoI6IwIAADwEAAAOAAAAZHJzL2Uyb0RvYy54bWytU12O&#10;0zAQfkfiDpbfadLSbLtR09WqqyKkBVZaOIDjOImF/xi7TZfLIPG2h+A4iGswcdqSBZ4QfrA8nvHn&#10;b76ZWV0dtCJ7AV5aU9DpJKVEGG4raZqCfni/fbGkxAdmKqasEQV9EJ5erZ8/W3UuFzPbWlUJIAhi&#10;fN65grYhuDxJPG+FZn5inTDorC1oFtCEJqmAdYiuVTJL04uks1A5sFx4j7c3g5OuI35dCx7e1bUX&#10;gaiCIrcQd4h72e/JesXyBphrJT/SYP/AQjNp8NMz1A0LjOxA/gGlJQfrbR0m3OrE1rXkIuaA2UzT&#10;37K5b5kTMRcUx7uzTP7/wfK3+zsgssLaoTyGaazRjy+P3799JXiB6nTO5xh07+6gz8+7W8s/emLs&#10;pmWmEdcAtmsFq5DTtI9PnjzoDY9PSdm9sRVis12wUahDDboHRAnIIdbj4VwPcQiE42U2X1wsFxkl&#10;HH2L9GW2jJQSlp9eO/DhlbCa9IeCAtY7orP9rQ89G5afQiJ7q2S1lUpFA5pyo4DsGfbGNq6YACY5&#10;DlOGdAW9zGZZRH7i82OINK6/QWgZsMmV1AVdjoOU6XmI2KZHvifBBuHDoTwca1Da6gF1BDu0MI4c&#10;HloLnynpsH0L6j/tGAhK1GuDtbiczud9v0djni1maMDYU449zHCEKmigZDhuwjAjOweyafGnaUze&#10;2GusXy2jtD3VgdWx6tiiUfHjOPUzMLZj1K+hX/8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ObC&#10;pdcAAAAIAQAADwAAAAAAAAABACAAAAAiAAAAZHJzL2Rvd25yZXYueG1sUEsBAhQAFAAAAAgAh07i&#10;QOCGgjojAgAAPAQAAA4AAAAAAAAAAQAgAAAAJgEAAGRycy9lMm9Eb2MueG1sUEsFBgAAAAAGAAYA&#10;WQEAALsFAAAAAA==&#10;">
                <v:fill on="t" focussize="0,0"/>
                <v:stroke color="#000000" miterlimit="8" joinstyle="miter"/>
                <v:imagedata o:title=""/>
                <o:lock v:ext="edit" aspectratio="f"/>
                <v:textbox>
                  <w:txbxContent>
                    <w:p>
                      <w:pPr>
                        <w:jc w:val="center"/>
                      </w:pPr>
                      <w:r>
                        <w:rPr>
                          <w:rFonts w:hint="eastAsia"/>
                          <w:b/>
                        </w:rPr>
                        <w:t>网上申请：</w:t>
                      </w:r>
                      <w:r>
                        <w:t>20</w:t>
                      </w:r>
                      <w:r>
                        <w:rPr>
                          <w:rFonts w:hint="eastAsia"/>
                          <w:lang w:val="en-US" w:eastAsia="zh-CN"/>
                        </w:rPr>
                        <w:t>20</w:t>
                      </w:r>
                      <w:r>
                        <w:rPr>
                          <w:rFonts w:hint="eastAsia"/>
                        </w:rPr>
                        <w:t>年</w:t>
                      </w:r>
                      <w:r>
                        <w:t>12</w:t>
                      </w:r>
                      <w:r>
                        <w:rPr>
                          <w:rFonts w:hint="eastAsia"/>
                        </w:rPr>
                        <w:t>月1至</w:t>
                      </w:r>
                      <w:r>
                        <w:rPr>
                          <w:rFonts w:hint="eastAsia"/>
                          <w:lang w:val="en-US" w:eastAsia="zh-CN"/>
                        </w:rPr>
                        <w:t>2021年</w:t>
                      </w:r>
                      <w:r>
                        <w:rPr>
                          <w:rFonts w:hint="eastAsia"/>
                        </w:rPr>
                        <w:t>1月15日，考生网上登录“广东省</w:t>
                      </w:r>
                      <w:r>
                        <w:rPr>
                          <w:rFonts w:hint="eastAsia"/>
                          <w:lang w:eastAsia="zh-CN"/>
                        </w:rPr>
                        <w:t>普通高中学业水平合格性考试</w:t>
                      </w:r>
                      <w:r>
                        <w:rPr>
                          <w:rFonts w:hint="eastAsia"/>
                        </w:rPr>
                        <w:t>成绩转移管理系统”（成绩转入网址：</w:t>
                      </w:r>
                      <w:r>
                        <w:fldChar w:fldCharType="begin"/>
                      </w:r>
                      <w:r>
                        <w:instrText xml:space="preserve">HYPERLINK "http://www.eeagd.edu.cn/xyspzr"</w:instrText>
                      </w:r>
                      <w:r>
                        <w:fldChar w:fldCharType="separate"/>
                      </w:r>
                      <w:r>
                        <w:rPr>
                          <w:rStyle w:val="4"/>
                          <w:color w:val="auto"/>
                        </w:rPr>
                        <w:t>http://www.e</w:t>
                      </w:r>
                      <w:r>
                        <w:rPr>
                          <w:rStyle w:val="4"/>
                          <w:rFonts w:hint="eastAsia"/>
                          <w:color w:val="auto"/>
                        </w:rPr>
                        <w:t>ea</w:t>
                      </w:r>
                      <w:r>
                        <w:rPr>
                          <w:rStyle w:val="4"/>
                          <w:color w:val="auto"/>
                        </w:rPr>
                        <w:t>gd.edu.cn/xyspzr</w:t>
                      </w:r>
                      <w:r>
                        <w:fldChar w:fldCharType="end"/>
                      </w:r>
                      <w:r>
                        <w:rPr>
                          <w:rFonts w:hint="eastAsia"/>
                        </w:rPr>
                        <w:t>；或通过广东省教育考试院网站</w:t>
                      </w:r>
                      <w:r>
                        <w:rPr>
                          <w:rFonts w:hint="eastAsia"/>
                          <w:color w:val="auto"/>
                        </w:rPr>
                        <w:t>首页“</w:t>
                      </w:r>
                      <w:r>
                        <w:rPr>
                          <w:rFonts w:hint="eastAsia"/>
                          <w:color w:val="auto"/>
                          <w:lang w:val="en-US" w:eastAsia="zh-CN"/>
                        </w:rPr>
                        <w:t>报名报考</w:t>
                      </w:r>
                      <w:r>
                        <w:rPr>
                          <w:rFonts w:hint="eastAsia"/>
                          <w:color w:val="auto"/>
                        </w:rPr>
                        <w:t>”条目进入“高中学考</w:t>
                      </w:r>
                      <w:r>
                        <w:rPr>
                          <w:color w:val="auto"/>
                        </w:rPr>
                        <w:t>-</w:t>
                      </w:r>
                      <w:r>
                        <w:rPr>
                          <w:rFonts w:hint="eastAsia"/>
                          <w:color w:val="auto"/>
                        </w:rPr>
                        <w:t>考生成绩转入”），提出</w:t>
                      </w:r>
                      <w:r>
                        <w:rPr>
                          <w:rFonts w:hint="eastAsia"/>
                          <w:b/>
                          <w:color w:val="auto"/>
                          <w:u w:val="single"/>
                        </w:rPr>
                        <w:t>全部科目成绩</w:t>
                      </w:r>
                      <w:r>
                        <w:rPr>
                          <w:rFonts w:hint="eastAsia"/>
                          <w:color w:val="auto"/>
                        </w:rPr>
                        <w:t>转入申请并</w:t>
                      </w:r>
                      <w:r>
                        <w:rPr>
                          <w:rFonts w:hint="eastAsia"/>
                        </w:rPr>
                        <w:t>确认。</w:t>
                      </w:r>
                    </w:p>
                  </w:txbxContent>
                </v:textbox>
              </v:rect>
            </w:pict>
          </mc:Fallback>
        </mc:AlternateContent>
      </w:r>
    </w:p>
    <w:p>
      <w:pPr>
        <w:adjustRightInd w:val="0"/>
        <w:snapToGrid w:val="0"/>
        <w:spacing w:line="560" w:lineRule="exact"/>
        <w:rPr>
          <w:rFonts w:ascii="宋体" w:hAnsi="宋体"/>
          <w:color w:val="auto"/>
          <w:sz w:val="11"/>
          <w:szCs w:val="11"/>
        </w:rPr>
      </w:pPr>
    </w:p>
    <w:p>
      <w:pPr>
        <w:adjustRightInd w:val="0"/>
        <w:snapToGrid w:val="0"/>
        <w:spacing w:line="560" w:lineRule="exact"/>
        <w:rPr>
          <w:rFonts w:ascii="宋体" w:hAnsi="宋体"/>
          <w:color w:val="auto"/>
          <w:sz w:val="11"/>
          <w:szCs w:val="11"/>
        </w:rPr>
      </w:pPr>
      <w:r>
        <w:rPr>
          <w:rFonts w:ascii="Calibri" w:hAnsi="Calibri"/>
          <w:color w:val="auto"/>
          <w:szCs w:val="22"/>
        </w:rPr>
        <mc:AlternateContent>
          <mc:Choice Requires="wps">
            <w:drawing>
              <wp:anchor distT="0" distB="0" distL="114300" distR="114300" simplePos="0" relativeHeight="251660288" behindDoc="0" locked="0" layoutInCell="1" allowOverlap="1">
                <wp:simplePos x="0" y="0"/>
                <wp:positionH relativeFrom="column">
                  <wp:posOffset>2672080</wp:posOffset>
                </wp:positionH>
                <wp:positionV relativeFrom="paragraph">
                  <wp:posOffset>267335</wp:posOffset>
                </wp:positionV>
                <wp:extent cx="0" cy="539750"/>
                <wp:effectExtent l="38100" t="0" r="38100" b="1270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210.4pt;margin-top:21.05pt;height:42.5pt;width:0pt;z-index:251660288;mso-width-relative:page;mso-height-relative:page;" filled="f" stroked="t" coordsize="21600,21600" o:gfxdata="UEsDBAoAAAAAAIdO4kAAAAAAAAAAAAAAAAAEAAAAZHJzL1BLAwQUAAAACACHTuJAOXirf9gAAAAK&#10;AQAADwAAAGRycy9kb3ducmV2LnhtbE2PPU/DMBCGdyT+g3VIbNR2hCBK43RAKksLqC1CdHNjk0TE&#10;58h22vDvuYqhbPfx6L3nysXkena0IXYeFciZAGax9qbDRsH7bnmXA4tJo9G9R6vgx0ZYVNdXpS6M&#10;P+HGHrepYRSCsdAK2pSGgvNYt9bpOPODRdp9+eB0ojY03AR9onDX80yIB+50h3Sh1YN9am39vR2d&#10;gs16uco/VuNUh/2zfN29rV8+Y67U7Y0Uc2DJTukCw1mf1KEip4Mf0UTWK7jPBKmncyGBEfA3OBCZ&#10;PUrgVcn/v1D9AlBLAwQUAAAACACHTuJA2EjYBesBAACbAwAADgAAAGRycy9lMm9Eb2MueG1srVPN&#10;bhMxEL4j8Q6W72STVCl0lU0PKeVSIFLLAzj2bNbC9li2k01eghdA4gYnjr3zNpTHYOz8QOGG2MNo&#10;PfP5m5lvxtPLrTVsAyFqdA0fDYacgZOotFs1/N3d9bMXnMUknBIGHTR8B5Ffzp4+mfa+hjF2aBQE&#10;RiQu1r1veJeSr6sqyg6siAP04CjYYrAi0TGsKhVET+zWVOPh8LzqMSgfUEKM5L3aB/ms8LctyPS2&#10;bSMkZhpOtaViQ7HLbKvZVNSrIHyn5aEM8Q9VWKEdJT1RXYkk2Drov6islgEjtmkg0VbYtlpC6YG6&#10;GQ3/6Oa2Ex5KLyRO9CeZ4v+jlW82i8C0otmNOHPC0owePt5///D5x7dPZB++fmEUIZl6H2tCz90i&#10;5Ebl1t36G5TvI3M474RbQSn3bueJotyoHl3Jh+gp2bJ/jYowYp2waLZtg82UpAbbltHsTqOBbWKS&#10;nOdnE84k+SdnF88nZW6VqI83fYjpFaBl+afhRrssm6jF5iYmqp2gR0h2O7zWxpTRG8f6hl9MxpNy&#10;IaLRKgczLIbVcm4C24i8POXLQhDZI1jAtVOFLAltXjrFUtEgBU2qGOA5gwXFmQF6I/lvz2JczgJl&#10;Sw91HkXay71EtVuEDM5+2oCS/LCtecV+PxfUrzc1+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5&#10;eKt/2AAAAAoBAAAPAAAAAAAAAAEAIAAAACIAAABkcnMvZG93bnJldi54bWxQSwECFAAUAAAACACH&#10;TuJA2EjYBesBAACbAwAADgAAAAAAAAABACAAAAAnAQAAZHJzL2Uyb0RvYy54bWxQSwUGAAAAAAYA&#10;BgBZAQAAhAUAAAAA&#10;">
                <v:fill on="f" focussize="0,0"/>
                <v:stroke color="#000000" joinstyle="round" endarrow="block"/>
                <v:imagedata o:title=""/>
                <o:lock v:ext="edit" aspectratio="f"/>
              </v:line>
            </w:pict>
          </mc:Fallback>
        </mc:AlternateContent>
      </w:r>
    </w:p>
    <w:p>
      <w:pPr>
        <w:snapToGrid w:val="0"/>
        <w:spacing w:line="560" w:lineRule="exact"/>
        <w:rPr>
          <w:rFonts w:ascii="仿宋_GB2312" w:eastAsia="仿宋_GB2312"/>
          <w:color w:val="auto"/>
          <w:sz w:val="32"/>
          <w:szCs w:val="32"/>
        </w:rPr>
      </w:pPr>
    </w:p>
    <w:p>
      <w:pPr>
        <w:snapToGrid w:val="0"/>
        <w:spacing w:line="560" w:lineRule="exact"/>
        <w:rPr>
          <w:rFonts w:ascii="仿宋_GB2312" w:eastAsia="仿宋_GB2312"/>
          <w:color w:val="auto"/>
          <w:sz w:val="32"/>
          <w:szCs w:val="32"/>
        </w:rPr>
      </w:pPr>
      <w:r>
        <w:rPr>
          <w:rFonts w:ascii="Calibri"/>
          <w:color w:val="auto"/>
          <w:szCs w:val="22"/>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99060</wp:posOffset>
                </wp:positionV>
                <wp:extent cx="5476875" cy="679450"/>
                <wp:effectExtent l="4445" t="4445" r="5080" b="20955"/>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5549900" cy="679450"/>
                        </a:xfrm>
                        <a:prstGeom prst="rect">
                          <a:avLst/>
                        </a:prstGeom>
                        <a:solidFill>
                          <a:srgbClr val="FFFFFF"/>
                        </a:solidFill>
                        <a:ln w="9525">
                          <a:solidFill>
                            <a:srgbClr val="000000"/>
                          </a:solidFill>
                          <a:miter lim="800000"/>
                        </a:ln>
                        <a:effectLst/>
                      </wps:spPr>
                      <wps:txbx>
                        <w:txbxContent>
                          <w:p>
                            <w:pPr>
                              <w:jc w:val="center"/>
                            </w:pPr>
                            <w:r>
                              <w:rPr>
                                <w:rFonts w:hint="eastAsia"/>
                                <w:b/>
                              </w:rPr>
                              <w:t>提交材料：考生</w:t>
                            </w:r>
                            <w:r>
                              <w:rPr>
                                <w:rFonts w:hint="eastAsia" w:ascii="宋体" w:hAnsi="宋体" w:cs="宋体"/>
                                <w:color w:val="333333"/>
                                <w:kern w:val="0"/>
                                <w:szCs w:val="21"/>
                              </w:rPr>
                              <w:t>在网上提交</w:t>
                            </w:r>
                            <w:r>
                              <w:rPr>
                                <w:rFonts w:hint="eastAsia" w:ascii="宋体" w:hAnsi="宋体" w:cs="宋体"/>
                                <w:color w:val="333333"/>
                                <w:kern w:val="0"/>
                                <w:szCs w:val="21"/>
                                <w:lang w:val="en"/>
                              </w:rPr>
                              <w:t>本人身份证、</w:t>
                            </w:r>
                            <w:r>
                              <w:rPr>
                                <w:rFonts w:hint="eastAsia" w:ascii="宋体" w:hAnsi="宋体" w:cs="宋体"/>
                                <w:b/>
                                <w:color w:val="333333"/>
                                <w:kern w:val="0"/>
                                <w:szCs w:val="21"/>
                                <w:lang w:val="en"/>
                              </w:rPr>
                              <w:t>我省户口</w:t>
                            </w:r>
                            <w:r>
                              <w:rPr>
                                <w:rFonts w:hint="eastAsia" w:ascii="宋体" w:hAnsi="宋体" w:cs="宋体"/>
                                <w:b/>
                                <w:color w:val="auto"/>
                                <w:kern w:val="0"/>
                                <w:szCs w:val="21"/>
                                <w:lang w:val="en"/>
                              </w:rPr>
                              <w:t>簿（有户主页</w:t>
                            </w:r>
                            <w:r>
                              <w:rPr>
                                <w:rFonts w:hint="eastAsia" w:ascii="宋体" w:hAnsi="宋体" w:cs="宋体"/>
                                <w:b/>
                                <w:color w:val="auto"/>
                                <w:kern w:val="0"/>
                                <w:szCs w:val="21"/>
                                <w:lang w:val="en-US" w:eastAsia="zh-CN"/>
                              </w:rPr>
                              <w:t>和本人页</w:t>
                            </w:r>
                            <w:r>
                              <w:rPr>
                                <w:rFonts w:hint="eastAsia" w:ascii="宋体" w:hAnsi="宋体" w:cs="宋体"/>
                                <w:b/>
                                <w:color w:val="auto"/>
                                <w:kern w:val="0"/>
                                <w:szCs w:val="21"/>
                                <w:lang w:val="en"/>
                              </w:rPr>
                              <w:t>）</w:t>
                            </w:r>
                            <w:r>
                              <w:rPr>
                                <w:rFonts w:hint="eastAsia" w:ascii="宋体" w:hAnsi="宋体" w:cs="宋体"/>
                                <w:color w:val="auto"/>
                                <w:kern w:val="0"/>
                                <w:szCs w:val="21"/>
                                <w:lang w:val="en"/>
                              </w:rPr>
                              <w:t>及</w:t>
                            </w:r>
                            <w:r>
                              <w:rPr>
                                <w:rFonts w:hint="eastAsia" w:ascii="宋体" w:hAnsi="宋体" w:cs="宋体"/>
                                <w:color w:val="333333"/>
                                <w:kern w:val="0"/>
                                <w:szCs w:val="21"/>
                                <w:lang w:val="en" w:eastAsia="zh-CN"/>
                              </w:rPr>
                              <w:t>普通高中学业水平合格性考试</w:t>
                            </w:r>
                            <w:r>
                              <w:rPr>
                                <w:rFonts w:hint="eastAsia" w:ascii="宋体" w:hAnsi="宋体" w:cs="宋体"/>
                                <w:color w:val="333333"/>
                                <w:kern w:val="0"/>
                                <w:szCs w:val="21"/>
                                <w:lang w:val="en"/>
                              </w:rPr>
                              <w:t>成绩证书（</w:t>
                            </w:r>
                            <w:r>
                              <w:rPr>
                                <w:rFonts w:hint="eastAsia" w:ascii="宋体" w:hAnsi="宋体" w:cs="宋体"/>
                                <w:b/>
                                <w:bCs/>
                                <w:color w:val="333333"/>
                                <w:kern w:val="0"/>
                                <w:szCs w:val="21"/>
                              </w:rPr>
                              <w:t>成绩证书必须由省级教育行政部门或考试机构出具并加盖公章</w:t>
                            </w:r>
                            <w:r>
                              <w:rPr>
                                <w:rFonts w:hint="eastAsia" w:ascii="宋体" w:hAnsi="宋体" w:cs="宋体"/>
                                <w:color w:val="333333"/>
                                <w:kern w:val="0"/>
                                <w:szCs w:val="21"/>
                                <w:lang w:val="en"/>
                              </w:rPr>
                              <w:t>）等</w:t>
                            </w:r>
                            <w:r>
                              <w:rPr>
                                <w:rFonts w:hint="eastAsia" w:ascii="宋体" w:hAnsi="宋体" w:cs="宋体"/>
                                <w:color w:val="333333"/>
                                <w:kern w:val="0"/>
                                <w:szCs w:val="21"/>
                              </w:rPr>
                              <w:t>相关材料的PDF文件，并签订</w:t>
                            </w:r>
                            <w:r>
                              <w:rPr>
                                <w:rFonts w:ascii="宋体" w:hAnsi="宋体" w:cs="宋体"/>
                                <w:b/>
                                <w:bCs/>
                                <w:color w:val="333333"/>
                                <w:kern w:val="0"/>
                                <w:szCs w:val="21"/>
                              </w:rPr>
                              <w:t>材料真实性</w:t>
                            </w:r>
                            <w:r>
                              <w:rPr>
                                <w:rFonts w:hint="eastAsia" w:ascii="宋体" w:hAnsi="宋体" w:cs="宋体"/>
                                <w:color w:val="333333"/>
                                <w:kern w:val="0"/>
                                <w:szCs w:val="21"/>
                              </w:rPr>
                              <w:t>承诺书</w:t>
                            </w:r>
                            <w:r>
                              <w:rPr>
                                <w:rFonts w:hint="eastAsia"/>
                              </w:rP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pt;margin-top:7.8pt;height:53.5pt;width:431.25pt;z-index:251663360;mso-width-relative:page;mso-height-relative:page;" fillcolor="#FFFFFF" filled="t" stroked="t" coordsize="21600,21600" o:gfxdata="UEsDBAoAAAAAAIdO4kAAAAAAAAAAAAAAAAAEAAAAZHJzL1BLAwQUAAAACACHTuJA6l+CrtYAAAAI&#10;AQAADwAAAGRycy9kb3ducmV2LnhtbE2PwU7DMBBE70j8g7VI3KjdVA0ljdMDqEgc2/TCbRNvk0Bs&#10;R7HTBr6e5QTHnRnNvsl3s+3FhcbQeadhuVAgyNXedK7RcCr3DxsQIaIz2HtHGr4owK64vckxM/7q&#10;DnQ5xkZwiQsZamhjHDIpQ92SxbDwAzn2zn60GPkcG2lGvHK57WWiVCotdo4/tDjQc0v153GyGqou&#10;OeH3oXxV9mm/im9z+TG9v2h9f7dUWxCR5vgXhl98RoeCmSo/ORNEr2GVcJDldQqC7U26fgRRsZAk&#10;Kcgil/8HFD9QSwMEFAAAAAgAh07iQKOtICshAgAAOgQAAA4AAABkcnMvZTJvRG9jLnhtbK1TUY7T&#10;MBD9R+IOlv9p0qrZ3UZNV6uuipAWWGnhAI7jJBaObcZuk+UySPxxCI6DuAZjpy1Z4AuRD8uTGT+/&#10;eW+8vh46RQ4CnDS6oPNZSonQ3FRSNwV9/2734ooS55mumDJaFPRROHq9ef5s3dtcLExrVCWAIIh2&#10;eW8L2npv8yRxvBUdczNjhcZkbaBjHkNokgpYj+idShZpepH0BioLhgvn8O/tmKSbiF/Xgvu3de2E&#10;J6qgyM3HFeJahjXZrFneALOt5Eca7B9YdExqvPQMdcs8I3uQf0B1koNxpvYzbrrE1LXkIvaA3czT&#10;37p5aJkVsRcUx9mzTO7/wfI3h3sgsiooGqVZhxb9+Pz1+7cv5Cpo01uXY8mDvYfQnbN3hn9wRJtt&#10;y3QjbgBM3wpWIaN5qE+eHAiBw6Ok7F+bCqHZ3pso01BDFwBRADJENx7PbojBE44/s2y5WqVoGsfc&#10;xeVqmUW7EpafTltw/qUwHQmbggK6HdHZ4c75wIblp5LI3ihZ7aRSMYCm3CogB4aTsYtfbACbnJYp&#10;TfqCrrJFFpGf5NwUIo3f3yA66XHElexQ42mR0oGHiEN65HsSbBTeD+Vw9KA01SPqCGYcYHxwuGkN&#10;fKKkx+EtqPu4ZyAoUa80erGaL5dh2mOwzC4XGMA0U04zTHOEKqinZNxu/fhC9hZk0+JN89i8Njfo&#10;Xy2jtIHqyOroOg5oVPz4mMILmMax6teT3/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6l+CrtYA&#10;AAAIAQAADwAAAAAAAAABACAAAAAiAAAAZHJzL2Rvd25yZXYueG1sUEsBAhQAFAAAAAgAh07iQKOt&#10;ICshAgAAOgQAAA4AAAAAAAAAAQAgAAAAJQEAAGRycy9lMm9Eb2MueG1sUEsFBgAAAAAGAAYAWQEA&#10;ALgFAAAAAA==&#10;">
                <v:fill on="t" focussize="0,0"/>
                <v:stroke color="#000000" miterlimit="8" joinstyle="miter"/>
                <v:imagedata o:title=""/>
                <o:lock v:ext="edit" aspectratio="f"/>
                <v:textbox>
                  <w:txbxContent>
                    <w:p>
                      <w:pPr>
                        <w:jc w:val="center"/>
                      </w:pPr>
                      <w:r>
                        <w:rPr>
                          <w:rFonts w:hint="eastAsia"/>
                          <w:b/>
                        </w:rPr>
                        <w:t>提交材料：考生</w:t>
                      </w:r>
                      <w:r>
                        <w:rPr>
                          <w:rFonts w:hint="eastAsia" w:ascii="宋体" w:hAnsi="宋体" w:cs="宋体"/>
                          <w:color w:val="333333"/>
                          <w:kern w:val="0"/>
                          <w:szCs w:val="21"/>
                        </w:rPr>
                        <w:t>在网上提交</w:t>
                      </w:r>
                      <w:r>
                        <w:rPr>
                          <w:rFonts w:hint="eastAsia" w:ascii="宋体" w:hAnsi="宋体" w:cs="宋体"/>
                          <w:color w:val="333333"/>
                          <w:kern w:val="0"/>
                          <w:szCs w:val="21"/>
                          <w:lang w:val="en"/>
                        </w:rPr>
                        <w:t>本人身份证、</w:t>
                      </w:r>
                      <w:r>
                        <w:rPr>
                          <w:rFonts w:hint="eastAsia" w:ascii="宋体" w:hAnsi="宋体" w:cs="宋体"/>
                          <w:b/>
                          <w:color w:val="333333"/>
                          <w:kern w:val="0"/>
                          <w:szCs w:val="21"/>
                          <w:lang w:val="en"/>
                        </w:rPr>
                        <w:t>我省户口</w:t>
                      </w:r>
                      <w:r>
                        <w:rPr>
                          <w:rFonts w:hint="eastAsia" w:ascii="宋体" w:hAnsi="宋体" w:cs="宋体"/>
                          <w:b/>
                          <w:color w:val="auto"/>
                          <w:kern w:val="0"/>
                          <w:szCs w:val="21"/>
                          <w:lang w:val="en"/>
                        </w:rPr>
                        <w:t>簿（有户主页</w:t>
                      </w:r>
                      <w:r>
                        <w:rPr>
                          <w:rFonts w:hint="eastAsia" w:ascii="宋体" w:hAnsi="宋体" w:cs="宋体"/>
                          <w:b/>
                          <w:color w:val="auto"/>
                          <w:kern w:val="0"/>
                          <w:szCs w:val="21"/>
                          <w:lang w:val="en-US" w:eastAsia="zh-CN"/>
                        </w:rPr>
                        <w:t>和本人页</w:t>
                      </w:r>
                      <w:r>
                        <w:rPr>
                          <w:rFonts w:hint="eastAsia" w:ascii="宋体" w:hAnsi="宋体" w:cs="宋体"/>
                          <w:b/>
                          <w:color w:val="auto"/>
                          <w:kern w:val="0"/>
                          <w:szCs w:val="21"/>
                          <w:lang w:val="en"/>
                        </w:rPr>
                        <w:t>）</w:t>
                      </w:r>
                      <w:r>
                        <w:rPr>
                          <w:rFonts w:hint="eastAsia" w:ascii="宋体" w:hAnsi="宋体" w:cs="宋体"/>
                          <w:color w:val="auto"/>
                          <w:kern w:val="0"/>
                          <w:szCs w:val="21"/>
                          <w:lang w:val="en"/>
                        </w:rPr>
                        <w:t>及</w:t>
                      </w:r>
                      <w:r>
                        <w:rPr>
                          <w:rFonts w:hint="eastAsia" w:ascii="宋体" w:hAnsi="宋体" w:cs="宋体"/>
                          <w:color w:val="333333"/>
                          <w:kern w:val="0"/>
                          <w:szCs w:val="21"/>
                          <w:lang w:val="en" w:eastAsia="zh-CN"/>
                        </w:rPr>
                        <w:t>普通高中学业水平合格性考试</w:t>
                      </w:r>
                      <w:r>
                        <w:rPr>
                          <w:rFonts w:hint="eastAsia" w:ascii="宋体" w:hAnsi="宋体" w:cs="宋体"/>
                          <w:color w:val="333333"/>
                          <w:kern w:val="0"/>
                          <w:szCs w:val="21"/>
                          <w:lang w:val="en"/>
                        </w:rPr>
                        <w:t>成绩证书（</w:t>
                      </w:r>
                      <w:r>
                        <w:rPr>
                          <w:rFonts w:hint="eastAsia" w:ascii="宋体" w:hAnsi="宋体" w:cs="宋体"/>
                          <w:b/>
                          <w:bCs/>
                          <w:color w:val="333333"/>
                          <w:kern w:val="0"/>
                          <w:szCs w:val="21"/>
                        </w:rPr>
                        <w:t>成绩证书必须由省级教育行政部门或考试机构出具并加盖公章</w:t>
                      </w:r>
                      <w:r>
                        <w:rPr>
                          <w:rFonts w:hint="eastAsia" w:ascii="宋体" w:hAnsi="宋体" w:cs="宋体"/>
                          <w:color w:val="333333"/>
                          <w:kern w:val="0"/>
                          <w:szCs w:val="21"/>
                          <w:lang w:val="en"/>
                        </w:rPr>
                        <w:t>）等</w:t>
                      </w:r>
                      <w:r>
                        <w:rPr>
                          <w:rFonts w:hint="eastAsia" w:ascii="宋体" w:hAnsi="宋体" w:cs="宋体"/>
                          <w:color w:val="333333"/>
                          <w:kern w:val="0"/>
                          <w:szCs w:val="21"/>
                        </w:rPr>
                        <w:t>相关材料的PDF文件，并签订</w:t>
                      </w:r>
                      <w:r>
                        <w:rPr>
                          <w:rFonts w:ascii="宋体" w:hAnsi="宋体" w:cs="宋体"/>
                          <w:b/>
                          <w:bCs/>
                          <w:color w:val="333333"/>
                          <w:kern w:val="0"/>
                          <w:szCs w:val="21"/>
                        </w:rPr>
                        <w:t>材料真实性</w:t>
                      </w:r>
                      <w:r>
                        <w:rPr>
                          <w:rFonts w:hint="eastAsia" w:ascii="宋体" w:hAnsi="宋体" w:cs="宋体"/>
                          <w:color w:val="333333"/>
                          <w:kern w:val="0"/>
                          <w:szCs w:val="21"/>
                        </w:rPr>
                        <w:t>承诺书</w:t>
                      </w:r>
                      <w:r>
                        <w:rPr>
                          <w:rFonts w:hint="eastAsia"/>
                        </w:rPr>
                        <w:t>。</w:t>
                      </w:r>
                    </w:p>
                  </w:txbxContent>
                </v:textbox>
              </v:rect>
            </w:pict>
          </mc:Fallback>
        </mc:AlternateContent>
      </w:r>
    </w:p>
    <w:p>
      <w:pPr>
        <w:snapToGrid w:val="0"/>
        <w:spacing w:line="560" w:lineRule="exact"/>
        <w:rPr>
          <w:rFonts w:ascii="仿宋_GB2312" w:eastAsia="仿宋_GB2312"/>
          <w:color w:val="auto"/>
          <w:sz w:val="32"/>
          <w:szCs w:val="32"/>
        </w:rPr>
      </w:pPr>
      <w:r>
        <w:rPr>
          <w:rFonts w:ascii="Calibri"/>
          <w:color w:val="auto"/>
          <w:szCs w:val="22"/>
        </w:rPr>
        <mc:AlternateContent>
          <mc:Choice Requires="wps">
            <w:drawing>
              <wp:anchor distT="0" distB="0" distL="114300" distR="114300" simplePos="0" relativeHeight="251662336" behindDoc="0" locked="0" layoutInCell="1" allowOverlap="1">
                <wp:simplePos x="0" y="0"/>
                <wp:positionH relativeFrom="column">
                  <wp:posOffset>2683510</wp:posOffset>
                </wp:positionH>
                <wp:positionV relativeFrom="paragraph">
                  <wp:posOffset>287655</wp:posOffset>
                </wp:positionV>
                <wp:extent cx="635" cy="539750"/>
                <wp:effectExtent l="38100" t="0" r="37465" b="1270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H="1">
                          <a:off x="0" y="0"/>
                          <a:ext cx="635" cy="53975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211.3pt;margin-top:22.65pt;height:42.5pt;width:0.05pt;z-index:251662336;mso-width-relative:page;mso-height-relative:page;" filled="f" stroked="t" coordsize="21600,21600" o:gfxdata="UEsDBAoAAAAAAIdO4kAAAAAAAAAAAAAAAAAEAAAAZHJzL1BLAwQUAAAACACHTuJAtLS7p9kAAAAK&#10;AQAADwAAAGRycy9kb3ducmV2LnhtbE2PTU/DMAyG70j8h8hI3FjSdhtQmu6AQOKEYENI3LLGtGWN&#10;U5JsHfx6zAlu/nj0+nG1OrpBHDDE3pOGbKZAIDXe9tRqeNncX1yBiMmQNYMn1PCFEVb16UllSusn&#10;esbDOrWCQyiWRkOX0lhKGZsOnYkzPyLx7t0HZxK3oZU2mInD3SBzpZbSmZ74QmdGvO2w2a33TsP1&#10;Zlr4p7B7nWf959v33UcaHx6T1udnmboBkfCY/mD41Wd1qNlp6/dkoxg0zPN8ySgXiwIEAzy4BLFl&#10;slAFyLqS/1+ofwBQSwMEFAAAAAgAh07iQIfLZIrxAQAAowMAAA4AAABkcnMvZTJvRG9jLnhtbK1T&#10;wW4TMRC9I/EPlu9kk1QpdJVNDymFQ4FIbT/Asb1ZC9tj2U42+Ql+AIkbnDhy528on8GMk6YUbog9&#10;jNbjN29m3oyn51tn2UbHZMA3fDQYcqa9BGX8quG3N5fPXnCWsvBKWPC64Tud+Pns6ZNpH2o9hg6s&#10;0pEhiU91Hxre5Rzqqkqy006kAQTt8bKF6ETGY1xVKooe2Z2txsPhadVDVCGC1Cmh92J/yWeFv221&#10;zO/aNunMbMOxtlxsLHZJtppNRb2KInRGHsoQ/1CFE8Zj0iPVhciCraP5i8oZGSFBmwcSXAVta6Qu&#10;PWA3o+Ef3Vx3IujSC4qTwlGm9P9o5dvNIjKjcHaceeFwRHcfv/348Pnn909o775+YSMSqQ+pRuzc&#10;LyK1Kbf+OlyBfJ+Yh3kn/EqXYm92ARlKRPUohA4pYKpl/wYUYsQ6Q1Fs20bHWmvCawokclSFbcuI&#10;dscR6W1mEp2nJxPOJPonJ2fPJ2V+laiJgyJDTPmVBsfop+HWeJJP1GJzlTJ2gdB7CLk9XBprywpY&#10;z/qGn03GkxKQwBpFlwRLcbWc28g2gpaofCQJkj2CRVh7VciyMPalVywXNXI0qI/VnDI4rTizGt8K&#10;/e1ZrKcsumzroc57ufbCL0HtFpHA5MdNKMkPW0ur9vu5oB7e1uw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LS7p9kAAAAKAQAADwAAAAAAAAABACAAAAAiAAAAZHJzL2Rvd25yZXYueG1sUEsBAhQA&#10;FAAAAAgAh07iQIfLZIrxAQAAowMAAA4AAAAAAAAAAQAgAAAAKAEAAGRycy9lMm9Eb2MueG1sUEsF&#10;BgAAAAAGAAYAWQEAAIsFAAAAAA==&#10;">
                <v:fill on="f" focussize="0,0"/>
                <v:stroke color="#000000" joinstyle="round" endarrow="block"/>
                <v:imagedata o:title=""/>
                <o:lock v:ext="edit" aspectratio="f"/>
              </v:line>
            </w:pict>
          </mc:Fallback>
        </mc:AlternateContent>
      </w:r>
    </w:p>
    <w:p>
      <w:pPr>
        <w:snapToGrid w:val="0"/>
        <w:spacing w:line="320" w:lineRule="exact"/>
        <w:rPr>
          <w:rFonts w:ascii="仿宋_GB2312" w:eastAsia="仿宋_GB2312"/>
          <w:color w:val="auto"/>
          <w:sz w:val="32"/>
          <w:szCs w:val="32"/>
        </w:rPr>
      </w:pPr>
    </w:p>
    <w:p>
      <w:pPr>
        <w:snapToGrid w:val="0"/>
        <w:spacing w:line="320" w:lineRule="exact"/>
        <w:rPr>
          <w:rFonts w:hint="eastAsia" w:ascii="仿宋_GB2312" w:eastAsia="仿宋_GB2312"/>
          <w:color w:val="auto"/>
          <w:sz w:val="32"/>
          <w:szCs w:val="32"/>
        </w:rPr>
      </w:pPr>
    </w:p>
    <w:p>
      <w:pPr>
        <w:snapToGrid w:val="0"/>
        <w:spacing w:line="320" w:lineRule="exact"/>
        <w:rPr>
          <w:rFonts w:hint="eastAsia" w:ascii="仿宋_GB2312" w:eastAsia="仿宋_GB2312"/>
          <w:color w:val="auto"/>
          <w:sz w:val="32"/>
          <w:szCs w:val="32"/>
        </w:rPr>
      </w:pPr>
      <w:r>
        <w:rPr>
          <w:rFonts w:ascii="Calibri"/>
          <w:color w:val="auto"/>
          <w:szCs w:val="22"/>
        </w:rPr>
        <mc:AlternateContent>
          <mc:Choice Requires="wps">
            <w:drawing>
              <wp:anchor distT="0" distB="0" distL="114300" distR="114300" simplePos="0" relativeHeight="251666432" behindDoc="0" locked="0" layoutInCell="1" allowOverlap="1">
                <wp:simplePos x="0" y="0"/>
                <wp:positionH relativeFrom="column">
                  <wp:posOffset>25400</wp:posOffset>
                </wp:positionH>
                <wp:positionV relativeFrom="paragraph">
                  <wp:posOffset>65405</wp:posOffset>
                </wp:positionV>
                <wp:extent cx="5476875" cy="679450"/>
                <wp:effectExtent l="4445" t="4445" r="5080" b="20955"/>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5549900" cy="679450"/>
                        </a:xfrm>
                        <a:prstGeom prst="rect">
                          <a:avLst/>
                        </a:prstGeom>
                        <a:solidFill>
                          <a:srgbClr val="FFFFFF"/>
                        </a:solidFill>
                        <a:ln w="9525">
                          <a:solidFill>
                            <a:srgbClr val="000000"/>
                          </a:solidFill>
                          <a:miter lim="800000"/>
                        </a:ln>
                        <a:effectLst/>
                      </wps:spPr>
                      <wps:txbx>
                        <w:txbxContent>
                          <w:p>
                            <w:pPr>
                              <w:jc w:val="center"/>
                              <w:rPr>
                                <w:szCs w:val="21"/>
                              </w:rPr>
                            </w:pPr>
                            <w:r>
                              <w:rPr>
                                <w:rFonts w:hint="eastAsia" w:ascii="宋体" w:hAnsi="宋体" w:cs="宋体"/>
                                <w:b/>
                                <w:kern w:val="0"/>
                                <w:szCs w:val="21"/>
                                <w:lang w:val="en"/>
                              </w:rPr>
                              <w:t>各有关学校（报名点）初审并公示</w:t>
                            </w:r>
                            <w:r>
                              <w:rPr>
                                <w:rFonts w:hint="eastAsia" w:ascii="宋体" w:hAnsi="宋体" w:cs="宋体"/>
                                <w:kern w:val="0"/>
                                <w:szCs w:val="21"/>
                                <w:lang w:val="en"/>
                              </w:rPr>
                              <w:t>。</w:t>
                            </w:r>
                            <w:r>
                              <w:rPr>
                                <w:rFonts w:hint="eastAsia" w:ascii="宋体" w:hAnsi="宋体" w:cs="宋体"/>
                                <w:kern w:val="0"/>
                                <w:szCs w:val="21"/>
                                <w:lang w:val="en" w:eastAsia="zh-CN"/>
                              </w:rPr>
                              <w:t>2021年</w:t>
                            </w:r>
                            <w:r>
                              <w:rPr>
                                <w:rFonts w:hint="eastAsia" w:ascii="宋体" w:hAnsi="宋体" w:cs="宋体"/>
                                <w:kern w:val="0"/>
                                <w:szCs w:val="21"/>
                                <w:lang w:val="en"/>
                              </w:rPr>
                              <w:t>1月16至30日，各有关学校（报名点）初审，</w:t>
                            </w:r>
                            <w:r>
                              <w:rPr>
                                <w:rFonts w:hint="eastAsia"/>
                                <w:b/>
                                <w:u w:val="single"/>
                              </w:rPr>
                              <w:t>确认考生已转入全部科目成绩</w:t>
                            </w:r>
                            <w:r>
                              <w:rPr>
                                <w:rFonts w:hint="eastAsia"/>
                              </w:rPr>
                              <w:t>。</w:t>
                            </w:r>
                            <w:r>
                              <w:rPr>
                                <w:rFonts w:hint="eastAsia" w:ascii="宋体" w:hAnsi="宋体" w:cs="宋体"/>
                                <w:kern w:val="0"/>
                                <w:szCs w:val="21"/>
                                <w:lang w:val="en"/>
                              </w:rPr>
                              <w:t>同时对申请成绩转移</w:t>
                            </w:r>
                            <w:r>
                              <w:rPr>
                                <w:rFonts w:hint="eastAsia" w:ascii="宋体" w:hAnsi="宋体" w:cs="Arial"/>
                                <w:kern w:val="0"/>
                                <w:szCs w:val="21"/>
                              </w:rPr>
                              <w:t>考生提交的有关信息进行公示，并公布本校的监督举报电子信箱、电话号码。</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pt;margin-top:5.15pt;height:53.5pt;width:431.25pt;z-index:251666432;mso-width-relative:page;mso-height-relative:page;" fillcolor="#FFFFFF" filled="t" stroked="t" coordsize="21600,21600" o:gfxdata="UEsDBAoAAAAAAIdO4kAAAAAAAAAAAAAAAAAEAAAAZHJzL1BLAwQUAAAACACHTuJAksI0ZtYAAAAI&#10;AQAADwAAAGRycy9kb3ducmV2LnhtbE2PwU7DMBBE70j8g7VI3KidBkIJcXoAFYljm164bWKTBOJ1&#10;FDtt4OtZTnDcmdHsm2K7uEGc7BR6TxqSlQJhqfGmp1bDsdrdbECEiGRw8GQ1fNkA2/LyosDc+DPt&#10;7ekQW8ElFHLU0MU45lKGprMOw8qPlth795PDyOfUSjPhmcvdINdKZdJhT/yhw9E+dbb5PMxOQ92v&#10;j/i9r16Ue9il8XWpPua3Z62vrxL1CCLaJf6F4Ref0aFkptrPZIIYNNzyksiySkGwvcmyOxA1C8l9&#10;CrIs5P8B5Q9QSwMEFAAAAAgAh07iQKHGvHYiAgAAOgQAAA4AAABkcnMvZTJvRG9jLnhtbK1TXY7T&#10;MBB+R+IOlt9p0ird3UZNV6uuipAWWGnhAI7jJBb+Y+w2WS6DxBuH4DiIazBx2pIFnhB5sDyZ8edv&#10;vm+8vu61IgcBXlpT0PkspUQYbitpmoK+f7d7cUWJD8xUTFkjCvooPL3ePH+27lwuFra1qhJAEMT4&#10;vHMFbUNweZJ43grN/Mw6YTBZW9AsYAhNUgHrEF2rZJGmF0lnoXJgufAe/96OSbqJ+HUteHhb114E&#10;ogqK3EJcIa7lsCabNcsbYK6V/EiD/QMLzaTBS89Qtywwsgf5B5SWHKy3dZhxqxNb15KL2AN2M09/&#10;6+ahZU7EXlAc784y+f8Hy98c7oHIqqAZJYZptOjH56/fv30h2aBN53yOJQ/uHobuvLuz/IMnxm5b&#10;ZhpxA2C7VrAKGc2H+uTJgSHweJSU3WtbITTbBxtl6mvQAyAKQProxuPZDdEHwvHncpmtVimaxjF3&#10;cbnKltGuhOWn0w58eCmsJsOmoIBuR3R2uPNhYMPyU0lkb5WsdlKpGEBTbhWQA8PJ2MUvNoBNTsuU&#10;IV1BV8vFMiI/yfkpRBq/v0FoGXDEldQFvZoWKTPwEHFIj3xPgo3Ch77sjx6UtnpEHcGOA4wPDjet&#10;hU+UdDi8BfUf9wwEJeqVQS9W8ywbpj0G2fJygQFMM+U0wwxHqIIGSsbtNowvZO9ANi3eNI/NG3uD&#10;/tUySjtQHVkdXccBjYofH9PwAqZxrPr15D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LCNGbW&#10;AAAACAEAAA8AAAAAAAAAAQAgAAAAIgAAAGRycy9kb3ducmV2LnhtbFBLAQIUABQAAAAIAIdO4kCh&#10;xrx2IgIAADoEAAAOAAAAAAAAAAEAIAAAACUBAABkcnMvZTJvRG9jLnhtbFBLBQYAAAAABgAGAFkB&#10;AAC5BQAAAAA=&#10;">
                <v:fill on="t" focussize="0,0"/>
                <v:stroke color="#000000" miterlimit="8" joinstyle="miter"/>
                <v:imagedata o:title=""/>
                <o:lock v:ext="edit" aspectratio="f"/>
                <v:textbox>
                  <w:txbxContent>
                    <w:p>
                      <w:pPr>
                        <w:jc w:val="center"/>
                        <w:rPr>
                          <w:szCs w:val="21"/>
                        </w:rPr>
                      </w:pPr>
                      <w:r>
                        <w:rPr>
                          <w:rFonts w:hint="eastAsia" w:ascii="宋体" w:hAnsi="宋体" w:cs="宋体"/>
                          <w:b/>
                          <w:kern w:val="0"/>
                          <w:szCs w:val="21"/>
                          <w:lang w:val="en"/>
                        </w:rPr>
                        <w:t>各有关学校（报名点）初审并公示</w:t>
                      </w:r>
                      <w:r>
                        <w:rPr>
                          <w:rFonts w:hint="eastAsia" w:ascii="宋体" w:hAnsi="宋体" w:cs="宋体"/>
                          <w:kern w:val="0"/>
                          <w:szCs w:val="21"/>
                          <w:lang w:val="en"/>
                        </w:rPr>
                        <w:t>。</w:t>
                      </w:r>
                      <w:r>
                        <w:rPr>
                          <w:rFonts w:hint="eastAsia" w:ascii="宋体" w:hAnsi="宋体" w:cs="宋体"/>
                          <w:kern w:val="0"/>
                          <w:szCs w:val="21"/>
                          <w:lang w:val="en" w:eastAsia="zh-CN"/>
                        </w:rPr>
                        <w:t>2021年</w:t>
                      </w:r>
                      <w:r>
                        <w:rPr>
                          <w:rFonts w:hint="eastAsia" w:ascii="宋体" w:hAnsi="宋体" w:cs="宋体"/>
                          <w:kern w:val="0"/>
                          <w:szCs w:val="21"/>
                          <w:lang w:val="en"/>
                        </w:rPr>
                        <w:t>1月16至30日，各有关学校（报名点）初审，</w:t>
                      </w:r>
                      <w:r>
                        <w:rPr>
                          <w:rFonts w:hint="eastAsia"/>
                          <w:b/>
                          <w:u w:val="single"/>
                        </w:rPr>
                        <w:t>确认考生已转入全部科目成绩</w:t>
                      </w:r>
                      <w:r>
                        <w:rPr>
                          <w:rFonts w:hint="eastAsia"/>
                        </w:rPr>
                        <w:t>。</w:t>
                      </w:r>
                      <w:r>
                        <w:rPr>
                          <w:rFonts w:hint="eastAsia" w:ascii="宋体" w:hAnsi="宋体" w:cs="宋体"/>
                          <w:kern w:val="0"/>
                          <w:szCs w:val="21"/>
                          <w:lang w:val="en"/>
                        </w:rPr>
                        <w:t>同时对申请成绩转移</w:t>
                      </w:r>
                      <w:r>
                        <w:rPr>
                          <w:rFonts w:hint="eastAsia" w:ascii="宋体" w:hAnsi="宋体" w:cs="Arial"/>
                          <w:kern w:val="0"/>
                          <w:szCs w:val="21"/>
                        </w:rPr>
                        <w:t>考生提交的有关信息进行公示，并公布本校的监督举报电子信箱、电话号码。</w:t>
                      </w:r>
                    </w:p>
                  </w:txbxContent>
                </v:textbox>
              </v:rect>
            </w:pict>
          </mc:Fallback>
        </mc:AlternateContent>
      </w:r>
    </w:p>
    <w:p>
      <w:pPr>
        <w:snapToGrid w:val="0"/>
        <w:spacing w:line="320" w:lineRule="exact"/>
        <w:rPr>
          <w:rFonts w:hint="eastAsia" w:ascii="仿宋_GB2312" w:eastAsia="仿宋_GB2312"/>
          <w:color w:val="auto"/>
          <w:sz w:val="32"/>
          <w:szCs w:val="32"/>
        </w:rPr>
      </w:pPr>
    </w:p>
    <w:p>
      <w:pPr>
        <w:snapToGrid w:val="0"/>
        <w:spacing w:line="320" w:lineRule="exact"/>
        <w:rPr>
          <w:rFonts w:ascii="仿宋_GB2312" w:eastAsia="仿宋_GB2312"/>
          <w:color w:val="auto"/>
          <w:sz w:val="32"/>
          <w:szCs w:val="32"/>
        </w:rPr>
      </w:pPr>
    </w:p>
    <w:p>
      <w:pPr>
        <w:snapToGrid w:val="0"/>
        <w:spacing w:line="320" w:lineRule="exact"/>
        <w:rPr>
          <w:rFonts w:ascii="仿宋_GB2312" w:eastAsia="仿宋_GB2312"/>
          <w:color w:val="auto"/>
          <w:sz w:val="32"/>
          <w:szCs w:val="32"/>
        </w:rPr>
      </w:pPr>
      <w:r>
        <w:rPr>
          <w:rFonts w:ascii="Calibri"/>
          <w:color w:val="auto"/>
          <w:szCs w:val="22"/>
        </w:rPr>
        <mc:AlternateContent>
          <mc:Choice Requires="wps">
            <w:drawing>
              <wp:anchor distT="0" distB="0" distL="114300" distR="114300" simplePos="0" relativeHeight="251658240" behindDoc="0" locked="0" layoutInCell="1" allowOverlap="1">
                <wp:simplePos x="0" y="0"/>
                <wp:positionH relativeFrom="column">
                  <wp:posOffset>2683510</wp:posOffset>
                </wp:positionH>
                <wp:positionV relativeFrom="paragraph">
                  <wp:posOffset>127000</wp:posOffset>
                </wp:positionV>
                <wp:extent cx="635" cy="356870"/>
                <wp:effectExtent l="38100" t="0" r="37465" b="50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H="1">
                          <a:off x="0" y="0"/>
                          <a:ext cx="635" cy="53975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211.3pt;margin-top:10pt;height:28.1pt;width:0.05pt;z-index:251658240;mso-width-relative:page;mso-height-relative:page;" filled="f" stroked="t" coordsize="21600,21600" o:gfxdata="UEsDBAoAAAAAAIdO4kAAAAAAAAAAAAAAAAAEAAAAZHJzL1BLAwQUAAAACACHTuJA6RQxZtgAAAAJ&#10;AQAADwAAAGRycy9kb3ducmV2LnhtbE2PwU7DMAyG70i8Q2QkbixtNTpW6u6AQOKEYENIu2WNacsa&#10;pzTZOnh6zAmOtj/9/+dydXK9OtIYOs8I6SwBRVx723GD8Lp5uLoBFaJha3rPhPBFAVbV+VlpCusn&#10;fqHjOjZKQjgUBqGNcSi0DnVLzoSZH4jl9u5HZ6KMY6PtaCYJd73OkiTXznQsDa0Z6K6ler8+OITl&#10;Zrr2z+P+bZ52n9vv+484PD5FxMuLNLkFFekU/2D41Rd1qMRp5w9sg+oR5lmWC4ogNaAEkMUC1A5h&#10;kWegq1L//6D6AVBLAwQUAAAACACHTuJAo6rbTfEBAACjAwAADgAAAGRycy9lMm9Eb2MueG1srVPN&#10;bhMxEL4j8Q6W72STVCl0lU0PKYVDgUhtH8CxvVkL22PZTjZ5CV4AiRucOHLnbSiPwYyTpgVuCB9G&#10;9vx8M/PNeHq+dZZtdEwGfMNHgyFn2ktQxq8afntz+ewFZykLr4QFrxu+04mfz54+mfah1mPowCod&#10;GYL4VPeh4V3Ooa6qJDvtRBpA0B6NLUQnMj7jqlJR9IjubDUeDk+rHqIKEaROCbUXeyOfFfy21TK/&#10;a9ukM7MNx9pykbHIJclqNhX1KorQGXkoQ/xDFU4Yj0mPUBciC7aO5i8oZ2SEBG0eSHAVtK2RuvSA&#10;3YyGf3Rz3YmgSy9ITgpHmtL/g5VvN4vIjGr4mDMvHI7o7uO3Hx8+//z+CeXd1y9sTCT1IdXoO/eL&#10;SG3Krb8OVyDfJ+Zh3gm/0qXYm11AhBFFVL+F0CMFTLXs34BCH7HOUBjbttGx1prwmgIJHFlh2zKi&#10;3XFEepuZROXpyYQzifrJydnzSZlfJWrCoMgQU36lwTG6NNwaT/SJWmyuUqaaHlxI7eHSWFtWwHrW&#10;N/xsMp6UgATWKDKSW4qr5dxGthG0ROWUBtHy2C3C2qsCloWxL71iubCRo0F+rOaUwWnFmdX4V+i2&#10;L8l6yqLLth7qvKdrT/wS1G4RyZn0uAmlk8PW0qo9fhevh781+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FDFm2AAAAAkBAAAPAAAAAAAAAAEAIAAAACIAAABkcnMvZG93bnJldi54bWxQSwECFAAU&#10;AAAACACHTuJAo6rbTfEBAACjAwAADgAAAAAAAAABACAAAAAnAQAAZHJzL2Uyb0RvYy54bWxQSwUG&#10;AAAAAAYABgBZAQAAigUAAAAA&#10;">
                <v:fill on="f" focussize="0,0"/>
                <v:stroke color="#000000" joinstyle="round" endarrow="block"/>
                <v:imagedata o:title=""/>
                <o:lock v:ext="edit" aspectratio="f"/>
              </v:line>
            </w:pict>
          </mc:Fallback>
        </mc:AlternateContent>
      </w:r>
    </w:p>
    <w:p>
      <w:pPr>
        <w:widowControl/>
        <w:spacing w:line="560" w:lineRule="exact"/>
        <w:ind w:firstLine="315" w:firstLineChars="150"/>
        <w:rPr>
          <w:rFonts w:hint="eastAsia" w:ascii="仿宋_GB2312" w:eastAsia="仿宋_GB2312"/>
          <w:color w:val="auto"/>
          <w:sz w:val="32"/>
          <w:szCs w:val="32"/>
        </w:rPr>
      </w:pPr>
      <w:r>
        <w:rPr>
          <w:rFonts w:ascii="Calibri"/>
          <w:color w:val="auto"/>
          <w:szCs w:val="22"/>
        </w:rPr>
        <mc:AlternateContent>
          <mc:Choice Requires="wps">
            <w:drawing>
              <wp:anchor distT="0" distB="0" distL="114300" distR="114300" simplePos="0" relativeHeight="251659264" behindDoc="0" locked="0" layoutInCell="1" allowOverlap="1">
                <wp:simplePos x="0" y="0"/>
                <wp:positionH relativeFrom="column">
                  <wp:posOffset>459105</wp:posOffset>
                </wp:positionH>
                <wp:positionV relativeFrom="paragraph">
                  <wp:posOffset>274320</wp:posOffset>
                </wp:positionV>
                <wp:extent cx="4439285" cy="494665"/>
                <wp:effectExtent l="5080" t="5080" r="13335" b="14605"/>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4439285" cy="610235"/>
                        </a:xfrm>
                        <a:prstGeom prst="rect">
                          <a:avLst/>
                        </a:prstGeom>
                        <a:solidFill>
                          <a:srgbClr val="FFFFFF"/>
                        </a:solidFill>
                        <a:ln w="9525">
                          <a:solidFill>
                            <a:srgbClr val="000000"/>
                          </a:solidFill>
                          <a:miter lim="800000"/>
                        </a:ln>
                        <a:effectLst/>
                      </wps:spPr>
                      <wps:txbx>
                        <w:txbxContent>
                          <w:p>
                            <w:pPr>
                              <w:widowControl/>
                              <w:spacing w:line="320" w:lineRule="exact"/>
                              <w:jc w:val="center"/>
                              <w:rPr>
                                <w:lang w:val="en"/>
                              </w:rPr>
                            </w:pPr>
                            <w:r>
                              <w:rPr>
                                <w:rFonts w:hint="eastAsia"/>
                                <w:b/>
                              </w:rPr>
                              <w:t>市招考办复审</w:t>
                            </w:r>
                            <w:r>
                              <w:rPr>
                                <w:rFonts w:hint="eastAsia" w:ascii="宋体" w:hAnsi="宋体" w:cs="宋体"/>
                                <w:kern w:val="0"/>
                                <w:szCs w:val="21"/>
                                <w:lang w:val="en"/>
                              </w:rPr>
                              <w:t>。市招考办将于</w:t>
                            </w:r>
                            <w:r>
                              <w:rPr>
                                <w:rFonts w:hint="eastAsia" w:ascii="宋体" w:hAnsi="宋体" w:cs="宋体"/>
                                <w:kern w:val="0"/>
                                <w:szCs w:val="21"/>
                                <w:lang w:val="en" w:eastAsia="zh-CN"/>
                              </w:rPr>
                              <w:t>2021年</w:t>
                            </w:r>
                            <w:r>
                              <w:rPr>
                                <w:rFonts w:hint="eastAsia" w:ascii="宋体" w:hAnsi="宋体" w:cs="宋体"/>
                                <w:kern w:val="0"/>
                                <w:szCs w:val="21"/>
                                <w:lang w:val="en"/>
                              </w:rPr>
                              <w:t>2月15日前复审后报送省教育考试院最终审核认定。</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6.15pt;margin-top:21.6pt;height:38.95pt;width:349.55pt;z-index:251659264;mso-width-relative:page;mso-height-relative:page;" fillcolor="#FFFFFF" filled="t" stroked="t" coordsize="21600,21600" o:gfxdata="UEsDBAoAAAAAAIdO4kAAAAAAAAAAAAAAAAAEAAAAZHJzL1BLAwQUAAAACACHTuJARUY7adcAAAAJ&#10;AQAADwAAAGRycy9kb3ducmV2LnhtbE2PMU/DMBCFdyT+g3VIbNR2UhFI43QAFYmxTRc2Jz6SlNiO&#10;YqcN/HqOiY6n9+m974rtYgd2xin03imQKwEMXeNN71oFx2r38AQsRO2MHrxDBd8YYFve3hQ6N/7i&#10;9ng+xJZRiQu5VtDFOOach6ZDq8PKj+go+/ST1ZHOqeVm0hcqtwNPhHjkVveOFjo94kuHzddhtgrq&#10;Pjnqn331JuzzLo3vS3WaP16Vur+TYgMs4hL/YfjTJ3Uoyan2szOBDQqyJCVSwTpNgFGeZXINrCYw&#10;kRJ4WfDrD8pfUEsDBBQAAAAIAIdO4kD9wNEBIQIAADoEAAAOAAAAZHJzL2Uyb0RvYy54bWytU12O&#10;0zAQfkfiDpbfaX62Xdqo6WrVVRHSAistHMBxnMTCsc3YbbpcBom3PQTHQVyDiZOWLPCE8IPl8Yw/&#10;f/PNzPrq2CpyEOCk0TlNZjElQnNTSl3n9MP73YslJc4zXTJltMjpg3D0avP82bqzmUhNY1QpgCCI&#10;dllnc9p4b7MocrwRLXMzY4VGZ2WgZR5NqKMSWIforYrSOL6MOgOlBcOFc3h7MzjpJuBXleD+XVU5&#10;4YnKKXLzYYewF/0ebdYsq4HZRvKRBvsHFi2TGj89Q90wz8ge5B9QreRgnKn8jJs2MlUluQg5YDZJ&#10;/Fs29w2zIuSC4jh7lsn9P1j+9nAHRJY5XVGiWYsl+vHl8fu3r2TVa9NZl2HIvb2DPjtnbw3/6Ig2&#10;24bpWlwDmK4RrERGSR8fPXnQGw6fkqJ7Y0qEZntvgkzHCtoeEAUgx1CNh3M1xNETjpfz+cUqXS4o&#10;4ei7TOL0YhG+YNnptQXnXwnTkv6QU8BqB3R2uHW+Z8OyU0hgb5Qsd1KpYEBdbBWQA8PO2IU1ortp&#10;mNKkQ20W6SIgP/G5KUQc1t8gWumxxZVsc7qcBind8xChSUe+J8EG4f2xOI41KEz5gDqCGRoYBw4P&#10;jYHPlHTYvDl1n/YMBCXqtcZarJL5vO/2YMwXL1M0YOopph6mOULl1FMyHLd+mJC9BVk3+FMSktfm&#10;GutXySBtT3VgNVYdGzQoPg5TPwFTO0T9GvnN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VGO2nX&#10;AAAACQEAAA8AAAAAAAAAAQAgAAAAIgAAAGRycy9kb3ducmV2LnhtbFBLAQIUABQAAAAIAIdO4kD9&#10;wNEBIQIAADoEAAAOAAAAAAAAAAEAIAAAACYBAABkcnMvZTJvRG9jLnhtbFBLBQYAAAAABgAGAFkB&#10;AAC5BQAAAAA=&#10;">
                <v:fill on="t" focussize="0,0"/>
                <v:stroke color="#000000" miterlimit="8" joinstyle="miter"/>
                <v:imagedata o:title=""/>
                <o:lock v:ext="edit" aspectratio="f"/>
                <v:textbox>
                  <w:txbxContent>
                    <w:p>
                      <w:pPr>
                        <w:widowControl/>
                        <w:spacing w:line="320" w:lineRule="exact"/>
                        <w:jc w:val="center"/>
                        <w:rPr>
                          <w:lang w:val="en"/>
                        </w:rPr>
                      </w:pPr>
                      <w:r>
                        <w:rPr>
                          <w:rFonts w:hint="eastAsia"/>
                          <w:b/>
                        </w:rPr>
                        <w:t>市招考办复审</w:t>
                      </w:r>
                      <w:r>
                        <w:rPr>
                          <w:rFonts w:hint="eastAsia" w:ascii="宋体" w:hAnsi="宋体" w:cs="宋体"/>
                          <w:kern w:val="0"/>
                          <w:szCs w:val="21"/>
                          <w:lang w:val="en"/>
                        </w:rPr>
                        <w:t>。市招考办将于</w:t>
                      </w:r>
                      <w:r>
                        <w:rPr>
                          <w:rFonts w:hint="eastAsia" w:ascii="宋体" w:hAnsi="宋体" w:cs="宋体"/>
                          <w:kern w:val="0"/>
                          <w:szCs w:val="21"/>
                          <w:lang w:val="en" w:eastAsia="zh-CN"/>
                        </w:rPr>
                        <w:t>2021年</w:t>
                      </w:r>
                      <w:r>
                        <w:rPr>
                          <w:rFonts w:hint="eastAsia" w:ascii="宋体" w:hAnsi="宋体" w:cs="宋体"/>
                          <w:kern w:val="0"/>
                          <w:szCs w:val="21"/>
                          <w:lang w:val="en"/>
                        </w:rPr>
                        <w:t>2月15日前复审后报送省教育考试院最终审核认定。</w:t>
                      </w:r>
                    </w:p>
                  </w:txbxContent>
                </v:textbox>
              </v:rect>
            </w:pict>
          </mc:Fallback>
        </mc:AlternateContent>
      </w:r>
    </w:p>
    <w:p>
      <w:pPr>
        <w:widowControl/>
        <w:spacing w:line="560" w:lineRule="exact"/>
        <w:ind w:firstLine="480" w:firstLineChars="150"/>
        <w:rPr>
          <w:rFonts w:hint="eastAsia" w:ascii="仿宋_GB2312" w:eastAsia="仿宋_GB2312"/>
          <w:color w:val="auto"/>
          <w:sz w:val="32"/>
          <w:szCs w:val="32"/>
        </w:rPr>
      </w:pPr>
    </w:p>
    <w:p>
      <w:pPr>
        <w:widowControl/>
        <w:spacing w:line="560" w:lineRule="exact"/>
        <w:ind w:firstLine="315" w:firstLineChars="150"/>
        <w:rPr>
          <w:rFonts w:hint="eastAsia" w:ascii="仿宋_GB2312" w:eastAsia="仿宋_GB2312"/>
          <w:color w:val="auto"/>
          <w:sz w:val="32"/>
          <w:szCs w:val="32"/>
        </w:rPr>
      </w:pPr>
      <w:r>
        <w:rPr>
          <w:rFonts w:ascii="Calibri"/>
          <w:color w:val="auto"/>
          <w:szCs w:val="22"/>
        </w:rPr>
        <mc:AlternateContent>
          <mc:Choice Requires="wps">
            <w:drawing>
              <wp:anchor distT="0" distB="0" distL="114300" distR="114300" simplePos="0" relativeHeight="251667456" behindDoc="0" locked="0" layoutInCell="1" allowOverlap="1">
                <wp:simplePos x="0" y="0"/>
                <wp:positionH relativeFrom="column">
                  <wp:posOffset>2683510</wp:posOffset>
                </wp:positionH>
                <wp:positionV relativeFrom="paragraph">
                  <wp:posOffset>54610</wp:posOffset>
                </wp:positionV>
                <wp:extent cx="635" cy="356870"/>
                <wp:effectExtent l="38100" t="0" r="37465" b="508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H="1">
                          <a:off x="0" y="0"/>
                          <a:ext cx="635" cy="53975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211.3pt;margin-top:4.3pt;height:28.1pt;width:0.05pt;z-index:251667456;mso-width-relative:page;mso-height-relative:page;" filled="f" stroked="t" coordsize="21600,21600" o:gfxdata="UEsDBAoAAAAAAIdO4kAAAAAAAAAAAAAAAAAEAAAAZHJzL1BLAwQUAAAACACHTuJA1hq8p9gAAAAI&#10;AQAADwAAAGRycy9kb3ducmV2LnhtbE2PwU7DMBBE70j8g7VI3KiTKIQ0jdMDAokTghYhcXPjJQmN&#10;18F2m8LXs5zgtBrNaPZNvT7ZURzRh8GRgnSRgEBqnRmoU/Cyvb8qQYSoyejRESr4wgDr5vys1pVx&#10;Mz3jcRM7wSUUKq2gj3GqpAxtj1aHhZuQ2Ht33urI0nfSeD1zuR1lliSFtHog/tDrCW97bPebg1Ww&#10;3M7X7snvX/N0+Hz7vvuI08NjVOryIk1WICKe4l8YfvEZHRpm2rkDmSBGBXmWFRxVUPJhn/UNiJ2C&#10;Ii9BNrX8P6D5AVBLAwQUAAAACACHTuJAibOR7fEBAACjAwAADgAAAGRycy9lMm9Eb2MueG1srVPN&#10;bhMxEL4j8Q6W72STVFvoKpseUgqHApFaHsCxvVkL22PZbjZ5CV4AiRucOHLnbSiPwYwT0gI3xB5G&#10;6/n55pvP49n51lm20TEZ8C2fjMacaS9BGb9u+dubyyfPOEtZeCUseN3ynU78fP740WwIjZ5CD1bp&#10;yBDEp2YILe9zDk1VJdlrJ9IIgvYY7CA6kfEY15WKYkB0Z6vpeHxaDRBViCB1Sui92Af5vOB3nZb5&#10;TdclnZltOXLLxcZiV2Sr+Uw06yhCb+SBhvgHFk4Yj02PUBciC3YbzV9QzsgICbo8kuAq6DojdZkB&#10;p5mM/5jmuhdBl1lQnBSOMqX/Bytfb5aRGdXymjMvHF7R3Yev399/+vHtI9q7L59ZTSINITWYu/DL&#10;SGPKrb8OVyDfJeZh0Qu/1oXszS4gwoQqqt9K6JACtloNr0BhjrjNUBTbdtGxzprwkgoJHFVh23JF&#10;u+MV6W1mEp2nJ8hTor8+OXtal/urREMYVBliyi80OEY/LbfGk3yiEZurlInTfQq5PVwaa8sKWM+G&#10;lp/V07oUJLBGUZDSUlyvFjayjaAlKl8ZECMP0yLcelXAsjD2uVcsFzVyNKiP1Zw6OK04sxrfCv3t&#10;KVlPXXTZ1gPPX3LthV+B2i0jJZMfN6FMcthaWrWH55J1/7b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Gryn2AAAAAgBAAAPAAAAAAAAAAEAIAAAACIAAABkcnMvZG93bnJldi54bWxQSwECFAAU&#10;AAAACACHTuJAibOR7fEBAACjAwAADgAAAAAAAAABACAAAAAnAQAAZHJzL2Uyb0RvYy54bWxQSwUG&#10;AAAAAAYABgBZAQAAigUAAAAA&#10;">
                <v:fill on="f" focussize="0,0"/>
                <v:stroke color="#000000" joinstyle="round" endarrow="block"/>
                <v:imagedata o:title=""/>
                <o:lock v:ext="edit" aspectratio="f"/>
              </v:line>
            </w:pict>
          </mc:Fallback>
        </mc:AlternateContent>
      </w:r>
    </w:p>
    <w:p>
      <w:pPr>
        <w:widowControl/>
        <w:spacing w:line="560" w:lineRule="exact"/>
        <w:ind w:firstLine="315" w:firstLineChars="150"/>
        <w:rPr>
          <w:rFonts w:hint="eastAsia" w:ascii="宋体" w:hAnsi="宋体" w:cs="宋体"/>
          <w:color w:val="auto"/>
          <w:kern w:val="0"/>
          <w:szCs w:val="21"/>
          <w:lang w:val="en"/>
        </w:rPr>
      </w:pPr>
      <w:r>
        <w:rPr>
          <w:rFonts w:ascii="Calibri"/>
          <w:color w:val="auto"/>
          <w:szCs w:val="22"/>
        </w:rPr>
        <mc:AlternateContent>
          <mc:Choice Requires="wps">
            <w:drawing>
              <wp:anchor distT="0" distB="0" distL="114300" distR="114300" simplePos="0" relativeHeight="251664384" behindDoc="0" locked="0" layoutInCell="1" allowOverlap="1">
                <wp:simplePos x="0" y="0"/>
                <wp:positionH relativeFrom="column">
                  <wp:posOffset>459105</wp:posOffset>
                </wp:positionH>
                <wp:positionV relativeFrom="paragraph">
                  <wp:posOffset>57785</wp:posOffset>
                </wp:positionV>
                <wp:extent cx="4439285" cy="473710"/>
                <wp:effectExtent l="4445" t="4445" r="13970" b="17145"/>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4599940" cy="473710"/>
                        </a:xfrm>
                        <a:prstGeom prst="rect">
                          <a:avLst/>
                        </a:prstGeom>
                        <a:solidFill>
                          <a:srgbClr val="FFFFFF"/>
                        </a:solidFill>
                        <a:ln w="9525">
                          <a:solidFill>
                            <a:srgbClr val="000000"/>
                          </a:solidFill>
                          <a:miter lim="800000"/>
                        </a:ln>
                        <a:effectLst/>
                      </wps:spPr>
                      <wps:txbx>
                        <w:txbxContent>
                          <w:p>
                            <w:pPr>
                              <w:jc w:val="center"/>
                            </w:pPr>
                            <w:r>
                              <w:rPr>
                                <w:rFonts w:hint="eastAsia"/>
                                <w:b/>
                              </w:rPr>
                              <w:t>省招办认定：</w:t>
                            </w:r>
                            <w:r>
                              <w:rPr>
                                <w:rFonts w:hint="eastAsia"/>
                              </w:rPr>
                              <w:t>根据有关规定及考生材料审核考生成绩转入申请，</w:t>
                            </w:r>
                            <w:r>
                              <w:rPr>
                                <w:rFonts w:hint="eastAsia"/>
                                <w:lang w:eastAsia="zh-CN"/>
                              </w:rPr>
                              <w:t>2021年</w:t>
                            </w:r>
                            <w:r>
                              <w:t>3</w:t>
                            </w:r>
                            <w:r>
                              <w:rPr>
                                <w:rFonts w:hint="eastAsia"/>
                              </w:rPr>
                              <w:t>月</w:t>
                            </w:r>
                            <w:r>
                              <w:t>15</w:t>
                            </w:r>
                            <w:r>
                              <w:rPr>
                                <w:rFonts w:hint="eastAsia"/>
                              </w:rPr>
                              <w:t>日前公布审核结果。</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6.15pt;margin-top:4.55pt;height:37.3pt;width:349.55pt;z-index:251664384;mso-width-relative:page;mso-height-relative:page;" fillcolor="#FFFFFF" filled="t" stroked="t" coordsize="21600,21600" o:gfxdata="UEsDBAoAAAAAAIdO4kAAAAAAAAAAAAAAAAAEAAAAZHJzL1BLAwQUAAAACACHTuJAey3n2tYAAAAH&#10;AQAADwAAAGRycy9kb3ducmV2LnhtbE2OwU6DQBRF9yb+w+SZuLMzgJEWeXShqYnLlm7cPWAElHlD&#10;mKGl/XrHlS5v7s25J98uZhAnPbneMkK0UiA017bpuUU4lruHNQjniRsaLGuEi3awLW5vcsoae+a9&#10;Ph18KwKEXUYInfdjJqWrO23IreyoOXSfdjLkQ5xa2Ux0DnAzyFipJ2mo5/DQ0ahfOl1/H2aDUPXx&#10;ka778k2ZzS7x70v5NX+8It7fReoZhNeL/xvDr35QhyI4VXbmxokBIY2TsETYRCBCnabRI4gKYZ2k&#10;IItc/vcvfgBQSwMEFAAAAAgAh07iQA4ZAk8iAgAAOgQAAA4AAABkcnMvZTJvRG9jLnhtbK1T247T&#10;MBB9R+IfLL/TNKWXbdR0teqqCGmBlRY+wHGcxMKxzdhtUn4Gibf9CD4H8RuM3QtZ4AmRB8uTGR+f&#10;OWe8uu5bRfYCnDQ6p+loTInQ3JRS1zn98H774ooS55kumTJa5PQgHL1eP3+26mwmJqYxqhRAEES7&#10;rLM5bby3WZI43oiWuZGxQmOyMtAyjyHUSQmsQ/RWJZPxeJ50BkoLhgvn8O/tMUnXEb+qBPfvqsoJ&#10;T1ROkZuPK8S1CGuyXrGsBmYbyU802D+waJnUeOkF6pZ5RnYg/4BqJQfjTOVH3LSJqSrJRewBu0nH&#10;v3Xz0DArYi8ojrMXmdz/g+Vv9/dAZJnTOSWatWjRjy+P3799JfOgTWddhiUP9h5Cd87eGf7REW02&#10;DdO1uAEwXSNYiYzSUJ88ORACh0dJ0b0xJUKznTdRpr6CNgCiAKSPbhwubojeE44/p7PlcjlF0zjm&#10;pouXizTalbDsfNqC86+EaUnY5BTQ7YjO9nfOBzYsO5dE9kbJciuVigHUxUYB2TOcjG38YgPY5LBM&#10;adLldDmbzCLyk5wbQozj9zeIVnoccSXbnF4Ni5QOPEQc0hPfs2BH4X1f9CcPClMeUEcwxwHGB4eb&#10;xsBnSjoc3py6TzsGghL1WqMXy3QahPMxmM4WEwxgmCmGGaY5QuXUU3LcbvzxhewsyLrBm9LYvDY3&#10;6F8lo7SB6pHVyXUc0Kj46TGFFzCMY9WvJ7/+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st59rW&#10;AAAABwEAAA8AAAAAAAAAAQAgAAAAIgAAAGRycy9kb3ducmV2LnhtbFBLAQIUABQAAAAIAIdO4kAO&#10;GQJPIgIAADoEAAAOAAAAAAAAAAEAIAAAACUBAABkcnMvZTJvRG9jLnhtbFBLBQYAAAAABgAGAFkB&#10;AAC5BQAAAAA=&#10;">
                <v:fill on="t" focussize="0,0"/>
                <v:stroke color="#000000" miterlimit="8" joinstyle="miter"/>
                <v:imagedata o:title=""/>
                <o:lock v:ext="edit" aspectratio="f"/>
                <v:textbox>
                  <w:txbxContent>
                    <w:p>
                      <w:pPr>
                        <w:jc w:val="center"/>
                      </w:pPr>
                      <w:r>
                        <w:rPr>
                          <w:rFonts w:hint="eastAsia"/>
                          <w:b/>
                        </w:rPr>
                        <w:t>省招办认定：</w:t>
                      </w:r>
                      <w:r>
                        <w:rPr>
                          <w:rFonts w:hint="eastAsia"/>
                        </w:rPr>
                        <w:t>根据有关规定及考生材料审核考生成绩转入申请，</w:t>
                      </w:r>
                      <w:r>
                        <w:rPr>
                          <w:rFonts w:hint="eastAsia"/>
                          <w:lang w:eastAsia="zh-CN"/>
                        </w:rPr>
                        <w:t>2021年</w:t>
                      </w:r>
                      <w:r>
                        <w:t>3</w:t>
                      </w:r>
                      <w:r>
                        <w:rPr>
                          <w:rFonts w:hint="eastAsia"/>
                        </w:rPr>
                        <w:t>月</w:t>
                      </w:r>
                      <w:r>
                        <w:t>15</w:t>
                      </w:r>
                      <w:r>
                        <w:rPr>
                          <w:rFonts w:hint="eastAsia"/>
                        </w:rPr>
                        <w:t>日前公布审核结果。</w:t>
                      </w:r>
                    </w:p>
                  </w:txbxContent>
                </v:textbox>
              </v:rect>
            </w:pict>
          </mc:Fallback>
        </mc:AlternateContent>
      </w:r>
      <w:r>
        <w:rPr>
          <w:rFonts w:hint="eastAsia" w:ascii="宋体" w:hAnsi="宋体" w:cs="宋体"/>
          <w:color w:val="auto"/>
          <w:kern w:val="0"/>
          <w:szCs w:val="21"/>
          <w:lang w:val="en"/>
        </w:rPr>
        <w:t xml:space="preserve">      </w:t>
      </w:r>
    </w:p>
    <w:p>
      <w:pPr>
        <w:snapToGrid w:val="0"/>
        <w:spacing w:line="560" w:lineRule="exact"/>
        <w:rPr>
          <w:rFonts w:ascii="仿宋_GB2312" w:eastAsia="仿宋_GB2312"/>
          <w:color w:val="auto"/>
          <w:sz w:val="32"/>
          <w:szCs w:val="32"/>
        </w:rPr>
      </w:pPr>
      <w:r>
        <w:rPr>
          <w:rFonts w:ascii="Calibri"/>
          <w:color w:val="auto"/>
          <w:szCs w:val="22"/>
        </w:rPr>
        <mc:AlternateContent>
          <mc:Choice Requires="wps">
            <w:drawing>
              <wp:anchor distT="0" distB="0" distL="114300" distR="114300" simplePos="0" relativeHeight="251668480" behindDoc="0" locked="0" layoutInCell="1" allowOverlap="1">
                <wp:simplePos x="0" y="0"/>
                <wp:positionH relativeFrom="column">
                  <wp:posOffset>2683510</wp:posOffset>
                </wp:positionH>
                <wp:positionV relativeFrom="paragraph">
                  <wp:posOffset>184150</wp:posOffset>
                </wp:positionV>
                <wp:extent cx="635" cy="356870"/>
                <wp:effectExtent l="38100" t="0" r="37465" b="508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flipH="1">
                          <a:off x="0" y="0"/>
                          <a:ext cx="635" cy="53975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211.3pt;margin-top:14.5pt;height:28.1pt;width:0.05pt;z-index:251668480;mso-width-relative:page;mso-height-relative:page;" filled="f" stroked="t" coordsize="21600,21600" o:gfxdata="UEsDBAoAAAAAAIdO4kAAAAAAAAAAAAAAAAAEAAAAZHJzL1BLAwQUAAAACACHTuJAbGzb2dkAAAAJ&#10;AQAADwAAAGRycy9kb3ducmV2LnhtbE2PwU7DMAyG70i8Q2QkbixttI2tNN0BgcQJwYaQuGWNacsa&#10;pyTZOvb0Myc42v70+/vL1dH14oAhdp405JMMBFLtbUeNhrfN480CREyGrOk9oYYfjLCqLi9KU1g/&#10;0ise1qkRHEKxMBralIZCyli36Eyc+AGJb58+OJN4DI20wYwc7nqpsmwunemIP7RmwPsW69167zQs&#10;N+PMv4Td+zTvvj9OD19peHpOWl9f5dkdiITH9AfDrz6rQ8VOW78nG0WvYarUnFENasmdGODFLYit&#10;hsVMgaxK+b9BdQZQSwMEFAAAAAgAh07iQI4Pa97xAQAAowMAAA4AAABkcnMvZTJvRG9jLnhtbK1T&#10;zW4TMRC+I/EOlu9kk1Rp6SqbHlIKhwKRWh7Asb1ZC9tj2U42eQleAIkbnHrkzttQHoMZJ6QFbggf&#10;Rvb8fDPzzXh6sXWWbXRMBnzDR4MhZ9pLUMavGv7u9urZc85SFl4JC143fKcTv5g9fTLtQ63H0IFV&#10;OjIE8anuQ8O7nENdVUl22ok0gKA9GluITmR8xlWlougR3dlqPByeVj1EFSJInRJqL/dGPiv4batl&#10;ftu2SWdmG4615SJjkUuS1Wwq6lUUoTPyUIb4hyqcMB6THqEuRRZsHc1fUM7ICAnaPJDgKmhbI3Xp&#10;AbsZDf/o5qYTQZdekJwUjjSl/wcr32wWkRnV8DPOvHA4ovuPX79/+Pzj2yeU93df2BmR1IdUo+/c&#10;LyK1Kbf+JlyDfJ+Yh3kn/EqXYm93ARFGFFH9FkKPFDDVsn8NCn3EOkNhbNtGx1prwisKJHBkhW3L&#10;iHbHEeltZhKVpycTziTqJyfnZ5Myv0rUhEGRIab8UoNjdGm4NZ7oE7XYXKdMNT24kNrDlbG2rID1&#10;rG/4+WQ8KQEJrFFkJLcUV8u5jWwjaInKKQ2i5bFbhLVXBSwLY194xXJhI0eD/FjNKYPTijOr8a/Q&#10;bV+S9ZRFl2091PmLrj3xS1C7RSRn0uMmlE4OW0ur9vhdvB7+1u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Gzb2dkAAAAJAQAADwAAAAAAAAABACAAAAAiAAAAZHJzL2Rvd25yZXYueG1sUEsBAhQA&#10;FAAAAAgAh07iQI4Pa97xAQAAowMAAA4AAAAAAAAAAQAgAAAAKAEAAGRycy9lMm9Eb2MueG1sUEsF&#10;BgAAAAAGAAYAWQEAAIsFAAAAAA==&#10;">
                <v:fill on="f" focussize="0,0"/>
                <v:stroke color="#000000" joinstyle="round" endarrow="block"/>
                <v:imagedata o:title=""/>
                <o:lock v:ext="edit" aspectratio="f"/>
              </v:line>
            </w:pict>
          </mc:Fallback>
        </mc:AlternateContent>
      </w:r>
      <w:r>
        <w:rPr>
          <w:rFonts w:hint="eastAsia" w:ascii="仿宋_GB2312" w:eastAsia="仿宋_GB2312"/>
          <w:color w:val="auto"/>
          <w:sz w:val="32"/>
          <w:szCs w:val="32"/>
        </w:rPr>
        <w:t xml:space="preserve">              </w:t>
      </w:r>
    </w:p>
    <w:p>
      <w:pPr>
        <w:snapToGrid w:val="0"/>
        <w:spacing w:line="560" w:lineRule="exact"/>
        <w:rPr>
          <w:rFonts w:ascii="仿宋_GB2312" w:eastAsia="仿宋_GB2312"/>
          <w:color w:val="auto"/>
          <w:sz w:val="32"/>
          <w:szCs w:val="32"/>
        </w:rPr>
      </w:pPr>
      <w:r>
        <w:rPr>
          <w:rFonts w:ascii="Calibri" w:hAnsi="Calibri"/>
          <w:color w:val="auto"/>
          <w:szCs w:val="22"/>
        </w:rPr>
        <mc:AlternateContent>
          <mc:Choice Requires="wps">
            <w:drawing>
              <wp:anchor distT="0" distB="0" distL="114300" distR="114300" simplePos="0" relativeHeight="251665408" behindDoc="0" locked="0" layoutInCell="1" allowOverlap="1">
                <wp:simplePos x="0" y="0"/>
                <wp:positionH relativeFrom="column">
                  <wp:posOffset>431800</wp:posOffset>
                </wp:positionH>
                <wp:positionV relativeFrom="paragraph">
                  <wp:posOffset>187325</wp:posOffset>
                </wp:positionV>
                <wp:extent cx="4498340" cy="553720"/>
                <wp:effectExtent l="4445" t="5080" r="12065" b="1270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4728845" cy="553720"/>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b/>
                                <w:szCs w:val="21"/>
                              </w:rPr>
                              <w:t>上网自行打印证书。</w:t>
                            </w:r>
                            <w:r>
                              <w:rPr>
                                <w:rFonts w:hint="eastAsia" w:ascii="宋体" w:hAnsi="宋体" w:cs="宋体"/>
                                <w:kern w:val="0"/>
                                <w:szCs w:val="21"/>
                              </w:rPr>
                              <w:t>经审核通过的考生可于</w:t>
                            </w:r>
                            <w:r>
                              <w:rPr>
                                <w:rFonts w:hint="eastAsia" w:ascii="宋体" w:hAnsi="宋体"/>
                                <w:szCs w:val="21"/>
                                <w:lang w:eastAsia="zh-CN"/>
                              </w:rPr>
                              <w:t>2021年</w:t>
                            </w:r>
                            <w:r>
                              <w:rPr>
                                <w:rFonts w:hint="eastAsia" w:ascii="宋体" w:hAnsi="宋体" w:cs="宋体"/>
                                <w:kern w:val="0"/>
                                <w:szCs w:val="21"/>
                              </w:rPr>
                              <w:t>3月20日至5月20日</w:t>
                            </w:r>
                            <w:r>
                              <w:rPr>
                                <w:rFonts w:hint="eastAsia" w:ascii="宋体" w:hAnsi="宋体"/>
                                <w:szCs w:val="21"/>
                              </w:rPr>
                              <w:t>上网自行打印《</w:t>
                            </w:r>
                            <w:r>
                              <w:rPr>
                                <w:rFonts w:hint="eastAsia" w:ascii="宋体" w:hAnsi="宋体"/>
                                <w:szCs w:val="21"/>
                                <w:lang w:eastAsia="zh-CN"/>
                              </w:rPr>
                              <w:t>普通高中学业水平合格性考试</w:t>
                            </w:r>
                            <w:r>
                              <w:rPr>
                                <w:rFonts w:hint="eastAsia" w:ascii="宋体" w:hAnsi="宋体"/>
                                <w:szCs w:val="21"/>
                              </w:rPr>
                              <w:t>成绩认定证书 》。</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pt;margin-top:14.75pt;height:43.6pt;width:354.2pt;z-index:251665408;mso-width-relative:page;mso-height-relative:page;" fillcolor="#FFFFFF" filled="t" stroked="t" coordsize="21600,21600" o:gfxdata="UEsDBAoAAAAAAIdO4kAAAAAAAAAAAAAAAAAEAAAAZHJzL1BLAwQUAAAACACHTuJALKMgQtgAAAAJ&#10;AQAADwAAAGRycy9kb3ducmV2LnhtbE2PQU+DQBSE7yb+h80z8WYXUKFFlh40NfHY0ou3hX0Cyr4l&#10;7NKiv97nqR4nM5n5ptgudhAnnHzvSEG8ikAgNc701Co4Vru7NQgfNBk9OEIF3+hhW15fFTo37kx7&#10;PB1CK7iEfK4VdCGMuZS+6dBqv3IjEnsfbrI6sJxaaSZ95nI7yCSKUml1T7zQ6RGfO2y+DrNVUPfJ&#10;Uf/sq9fIbnb34W2pPuf3F6Vub+LoCUTAJVzC8IfP6FAyU+1mMl4MCtI1XwkKks0jCPazLH0AUXMw&#10;TjOQZSH/Pyh/AVBLAwQUAAAACACHTuJAfSNcsyICAAA6BAAADgAAAGRycy9lMm9Eb2MueG1srVNd&#10;jtMwEH5H4g6W32n6F7YbNV2tuipCWmClhQM4jpNYOLYZu02WyyDxtofgOIhrMHbakgWeEH6wPJ7x&#10;52++mVlf9a0iBwFOGp3T2WRKidDclFLXOf3wfvdiRYnzTJdMGS1y+iAcvdo8f7bubCbmpjGqFEAQ&#10;RLusszltvLdZkjjeiJa5ibFCo7My0DKPJtRJCaxD9FYl8+n0ZdIZKC0YLpzD25vBSTcRv6oE9++q&#10;yglPVE6Rm487xL0Ie7JZs6wGZhvJjzTYP7BomdT46RnqhnlG9iD/gGolB+NM5SfctImpKslFzAGz&#10;mU1/y+a+YVbEXFAcZ88yuf8Hy98e7oDIMqcLSjRrsUQ/vjx+//aVLII2nXUZhtzbOwjZOXtr+EdH&#10;tNk2TNfiGsB0jWAlMpqF+OTJg2A4fEqK7o0pEZrtvYky9RW0ARAFIH2sxsO5GqL3hOPl8mK+Wi1T&#10;Sjj60nRxMY/lSlh2em3B+VfCtCQccgpY7YjODrfOBzYsO4VE9kbJcieVigbUxVYBOTDsjF1cMQFM&#10;chymNOlyepnO04j8xOfGENO4/gbRSo8trmSb09U4SOnAQ8QmPfI9CTYI7/uiP9agMOUD6ghmaGAc&#10;ODw0Bj5T0mHz5tR92jMQlKjXGmtxOVsuQ7dHY5kG5QiMPcXYwzRHqJx6Sobj1g8Tsrcg6wZ/msXk&#10;tbnG+lUyShuoDqyOVccGjYofhylMwNiOUb9Gfv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KMg&#10;QtgAAAAJAQAADwAAAAAAAAABACAAAAAiAAAAZHJzL2Rvd25yZXYueG1sUEsBAhQAFAAAAAgAh07i&#10;QH0jXLMiAgAAOgQAAA4AAAAAAAAAAQAgAAAAJwEAAGRycy9lMm9Eb2MueG1sUEsFBgAAAAAGAAYA&#10;WQEAALsFA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b/>
                          <w:szCs w:val="21"/>
                        </w:rPr>
                        <w:t>上网自行打印证书。</w:t>
                      </w:r>
                      <w:r>
                        <w:rPr>
                          <w:rFonts w:hint="eastAsia" w:ascii="宋体" w:hAnsi="宋体" w:cs="宋体"/>
                          <w:kern w:val="0"/>
                          <w:szCs w:val="21"/>
                        </w:rPr>
                        <w:t>经审核通过的考生可于</w:t>
                      </w:r>
                      <w:r>
                        <w:rPr>
                          <w:rFonts w:hint="eastAsia" w:ascii="宋体" w:hAnsi="宋体"/>
                          <w:szCs w:val="21"/>
                          <w:lang w:eastAsia="zh-CN"/>
                        </w:rPr>
                        <w:t>2021年</w:t>
                      </w:r>
                      <w:r>
                        <w:rPr>
                          <w:rFonts w:hint="eastAsia" w:ascii="宋体" w:hAnsi="宋体" w:cs="宋体"/>
                          <w:kern w:val="0"/>
                          <w:szCs w:val="21"/>
                        </w:rPr>
                        <w:t>3月20日至5月20日</w:t>
                      </w:r>
                      <w:r>
                        <w:rPr>
                          <w:rFonts w:hint="eastAsia" w:ascii="宋体" w:hAnsi="宋体"/>
                          <w:szCs w:val="21"/>
                        </w:rPr>
                        <w:t>上网自行打印《</w:t>
                      </w:r>
                      <w:r>
                        <w:rPr>
                          <w:rFonts w:hint="eastAsia" w:ascii="宋体" w:hAnsi="宋体"/>
                          <w:szCs w:val="21"/>
                          <w:lang w:eastAsia="zh-CN"/>
                        </w:rPr>
                        <w:t>普通高中学业水平合格性考试</w:t>
                      </w:r>
                      <w:r>
                        <w:rPr>
                          <w:rFonts w:hint="eastAsia" w:ascii="宋体" w:hAnsi="宋体"/>
                          <w:szCs w:val="21"/>
                        </w:rPr>
                        <w:t>成绩认定证书 》。</w:t>
                      </w:r>
                    </w:p>
                  </w:txbxContent>
                </v:textbox>
              </v:rect>
            </w:pict>
          </mc:Fallback>
        </mc:AlternateContent>
      </w:r>
    </w:p>
    <w:p>
      <w:pPr>
        <w:snapToGrid w:val="0"/>
        <w:spacing w:line="560" w:lineRule="exact"/>
        <w:rPr>
          <w:rFonts w:ascii="仿宋_GB2312" w:eastAsia="仿宋_GB2312"/>
          <w:color w:val="auto"/>
          <w:sz w:val="32"/>
          <w:szCs w:val="32"/>
        </w:rPr>
      </w:pPr>
      <w:r>
        <w:rPr>
          <w:rFonts w:hint="eastAsia" w:ascii="仿宋_GB2312" w:eastAsia="仿宋_GB2312"/>
          <w:color w:val="auto"/>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8BE5369-9E8E-4047-9C3D-29872AF34F64}"/>
  </w:font>
  <w:font w:name="黑体">
    <w:panose1 w:val="02010609060101010101"/>
    <w:charset w:val="86"/>
    <w:family w:val="auto"/>
    <w:pitch w:val="default"/>
    <w:sig w:usb0="800002BF" w:usb1="38CF7CFA" w:usb2="00000016" w:usb3="00000000" w:csb0="00040001" w:csb1="00000000"/>
    <w:embedRegular r:id="rId2" w:fontKey="{FFAB8904-11F7-4543-84A1-D97CA9B4E3F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3" w:fontKey="{68065245-9E2D-4F73-8D8F-F392A0CC3046}"/>
  </w:font>
  <w:font w:name="仿宋_GB2312">
    <w:panose1 w:val="02010609030101010101"/>
    <w:charset w:val="86"/>
    <w:family w:val="auto"/>
    <w:pitch w:val="default"/>
    <w:sig w:usb0="00000001" w:usb1="080E0000" w:usb2="00000000" w:usb3="00000000" w:csb0="00040000" w:csb1="00000000"/>
    <w:embedRegular r:id="rId4" w:fontKey="{716F1365-3254-452F-A555-35F301ACA38E}"/>
  </w:font>
  <w:font w:name="方正小标宋简体">
    <w:panose1 w:val="02000000000000000000"/>
    <w:charset w:val="86"/>
    <w:family w:val="auto"/>
    <w:pitch w:val="default"/>
    <w:sig w:usb0="00000001" w:usb1="08000000" w:usb2="00000000" w:usb3="00000000" w:csb0="00040000" w:csb1="00000000"/>
    <w:embedRegular r:id="rId5" w:fontKey="{155CB179-085D-4321-B7D7-440EE98CC7E7}"/>
  </w:font>
  <w:font w:name="仿宋">
    <w:panose1 w:val="02010609060101010101"/>
    <w:charset w:val="86"/>
    <w:family w:val="modern"/>
    <w:pitch w:val="default"/>
    <w:sig w:usb0="800002BF" w:usb1="38CF7CFA" w:usb2="00000016" w:usb3="00000000" w:csb0="00040001" w:csb1="00000000"/>
    <w:embedRegular r:id="rId6" w:fontKey="{223F9AA9-81FD-4417-9DDB-1148909320B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F5BE3"/>
    <w:rsid w:val="4C8F5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2020-11-06T03:28:00Z</dcterms:created>
  <dc:creator>正念大叔</dc:creator>
  <cp:lastModifiedBy>正念大叔</cp:lastModifiedBy>
  <dcterms:modified xsi:type="dcterms:W3CDTF">2020-11-06T03:29:30Z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